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A88" w14:textId="2F8A41E3" w:rsidR="004059B7" w:rsidRPr="00BE0459" w:rsidRDefault="00BE0459" w:rsidP="00BE0459">
      <w:pPr>
        <w:jc w:val="center"/>
        <w:rPr>
          <w:b/>
          <w:bCs/>
          <w:sz w:val="28"/>
          <w:szCs w:val="28"/>
        </w:rPr>
      </w:pPr>
      <w:r w:rsidRPr="00BE0459">
        <w:rPr>
          <w:b/>
          <w:bCs/>
          <w:sz w:val="28"/>
          <w:szCs w:val="28"/>
        </w:rPr>
        <w:t>M</w:t>
      </w:r>
      <w:r>
        <w:rPr>
          <w:b/>
          <w:bCs/>
          <w:sz w:val="28"/>
          <w:szCs w:val="28"/>
        </w:rPr>
        <w:t>ag</w:t>
      </w:r>
      <w:r w:rsidRPr="00BE0459">
        <w:rPr>
          <w:b/>
          <w:bCs/>
          <w:sz w:val="28"/>
          <w:szCs w:val="28"/>
        </w:rPr>
        <w:t>. App 95/19</w:t>
      </w:r>
    </w:p>
    <w:p w14:paraId="1CD1B56B" w14:textId="6BBDE471" w:rsidR="00BE0459" w:rsidRDefault="00BE0459" w:rsidP="00BE0459">
      <w:pPr>
        <w:jc w:val="center"/>
        <w:rPr>
          <w:b/>
          <w:bCs/>
          <w:sz w:val="28"/>
          <w:szCs w:val="28"/>
        </w:rPr>
      </w:pPr>
      <w:r w:rsidRPr="00BE0459">
        <w:rPr>
          <w:b/>
          <w:bCs/>
          <w:sz w:val="28"/>
          <w:szCs w:val="28"/>
        </w:rPr>
        <w:t>In the Appellate Division of the High Court of Justice of Sierra Leone</w:t>
      </w:r>
    </w:p>
    <w:p w14:paraId="6EF1C007" w14:textId="660E6892" w:rsidR="00BE0459" w:rsidRDefault="00BE0459" w:rsidP="00BE0459">
      <w:pPr>
        <w:jc w:val="center"/>
        <w:rPr>
          <w:b/>
          <w:bCs/>
          <w:sz w:val="28"/>
          <w:szCs w:val="28"/>
        </w:rPr>
      </w:pPr>
      <w:r>
        <w:rPr>
          <w:b/>
          <w:bCs/>
          <w:sz w:val="28"/>
          <w:szCs w:val="28"/>
        </w:rPr>
        <w:t>(Land and Property Division)</w:t>
      </w:r>
    </w:p>
    <w:p w14:paraId="51CE9157" w14:textId="7CAA8A72" w:rsidR="00BE0459" w:rsidRDefault="00BE0459" w:rsidP="00BE0459">
      <w:pPr>
        <w:rPr>
          <w:b/>
          <w:bCs/>
          <w:sz w:val="28"/>
          <w:szCs w:val="28"/>
        </w:rPr>
      </w:pPr>
    </w:p>
    <w:p w14:paraId="358E416F" w14:textId="21913966" w:rsidR="00BE0459" w:rsidRDefault="00BE0459" w:rsidP="00BE0459">
      <w:pPr>
        <w:rPr>
          <w:b/>
          <w:bCs/>
          <w:sz w:val="28"/>
          <w:szCs w:val="28"/>
        </w:rPr>
      </w:pPr>
      <w:r>
        <w:rPr>
          <w:b/>
          <w:bCs/>
          <w:sz w:val="28"/>
          <w:szCs w:val="28"/>
        </w:rPr>
        <w:t xml:space="preserve">Between: </w:t>
      </w:r>
    </w:p>
    <w:p w14:paraId="5B53C5C2" w14:textId="30CB36B3" w:rsidR="00BE0459" w:rsidRDefault="00160EB8" w:rsidP="00BE0459">
      <w:pPr>
        <w:rPr>
          <w:b/>
          <w:bCs/>
          <w:sz w:val="28"/>
          <w:szCs w:val="28"/>
        </w:rPr>
      </w:pPr>
      <w:r>
        <w:rPr>
          <w:b/>
          <w:bCs/>
          <w:sz w:val="28"/>
          <w:szCs w:val="28"/>
        </w:rPr>
        <w:t xml:space="preserve">Christian Junior Langley --                                        Appellant/Respondent </w:t>
      </w:r>
    </w:p>
    <w:p w14:paraId="7EFE4E89" w14:textId="2378271B" w:rsidR="00160EB8" w:rsidRDefault="00160EB8" w:rsidP="00BE0459">
      <w:pPr>
        <w:rPr>
          <w:b/>
          <w:bCs/>
          <w:sz w:val="28"/>
          <w:szCs w:val="28"/>
        </w:rPr>
      </w:pPr>
      <w:r>
        <w:rPr>
          <w:b/>
          <w:bCs/>
          <w:sz w:val="28"/>
          <w:szCs w:val="28"/>
        </w:rPr>
        <w:t>Off Peninsular</w:t>
      </w:r>
    </w:p>
    <w:p w14:paraId="5380EDE1" w14:textId="2BC9AFA5" w:rsidR="00160EB8" w:rsidRDefault="00160EB8" w:rsidP="00BE0459">
      <w:pPr>
        <w:rPr>
          <w:b/>
          <w:bCs/>
          <w:sz w:val="28"/>
          <w:szCs w:val="28"/>
        </w:rPr>
      </w:pPr>
      <w:r>
        <w:rPr>
          <w:b/>
          <w:bCs/>
          <w:sz w:val="28"/>
          <w:szCs w:val="28"/>
        </w:rPr>
        <w:t>Circular Road</w:t>
      </w:r>
    </w:p>
    <w:p w14:paraId="1DD307D8" w14:textId="10D141CD" w:rsidR="00160EB8" w:rsidRDefault="00160EB8" w:rsidP="00BE0459">
      <w:pPr>
        <w:rPr>
          <w:b/>
          <w:bCs/>
          <w:sz w:val="28"/>
          <w:szCs w:val="28"/>
        </w:rPr>
      </w:pPr>
      <w:r>
        <w:rPr>
          <w:b/>
          <w:bCs/>
          <w:sz w:val="28"/>
          <w:szCs w:val="28"/>
        </w:rPr>
        <w:t>Tombo Village</w:t>
      </w:r>
    </w:p>
    <w:p w14:paraId="287CDFED" w14:textId="77777777" w:rsidR="00160EB8" w:rsidRDefault="00160EB8" w:rsidP="00BE0459">
      <w:pPr>
        <w:rPr>
          <w:b/>
          <w:bCs/>
          <w:sz w:val="28"/>
          <w:szCs w:val="28"/>
        </w:rPr>
      </w:pPr>
    </w:p>
    <w:p w14:paraId="1B78DB83" w14:textId="59A73D32" w:rsidR="00160EB8" w:rsidRDefault="00160EB8" w:rsidP="00BE0459">
      <w:pPr>
        <w:rPr>
          <w:b/>
          <w:bCs/>
          <w:sz w:val="28"/>
          <w:szCs w:val="28"/>
        </w:rPr>
      </w:pPr>
      <w:r>
        <w:rPr>
          <w:b/>
          <w:bCs/>
          <w:sz w:val="28"/>
          <w:szCs w:val="28"/>
        </w:rPr>
        <w:t>And</w:t>
      </w:r>
    </w:p>
    <w:p w14:paraId="7FE3920C" w14:textId="521F5AC3" w:rsidR="00160EB8" w:rsidRDefault="00160EB8" w:rsidP="00BE0459">
      <w:pPr>
        <w:rPr>
          <w:b/>
          <w:bCs/>
          <w:sz w:val="28"/>
          <w:szCs w:val="28"/>
        </w:rPr>
      </w:pPr>
      <w:r>
        <w:rPr>
          <w:b/>
          <w:bCs/>
          <w:sz w:val="28"/>
          <w:szCs w:val="28"/>
        </w:rPr>
        <w:t xml:space="preserve">Ramatu </w:t>
      </w:r>
      <w:r w:rsidR="00F86AFC">
        <w:rPr>
          <w:b/>
          <w:bCs/>
          <w:sz w:val="28"/>
          <w:szCs w:val="28"/>
        </w:rPr>
        <w:t xml:space="preserve">Kabba --                                                       Respondent/Applicant                                          </w:t>
      </w:r>
    </w:p>
    <w:p w14:paraId="63B3497C" w14:textId="6099E8C3" w:rsidR="00160EB8" w:rsidRDefault="00160EB8" w:rsidP="00BE0459">
      <w:pPr>
        <w:rPr>
          <w:b/>
          <w:bCs/>
          <w:sz w:val="28"/>
          <w:szCs w:val="28"/>
        </w:rPr>
      </w:pPr>
      <w:r>
        <w:rPr>
          <w:b/>
          <w:bCs/>
          <w:sz w:val="28"/>
          <w:szCs w:val="28"/>
        </w:rPr>
        <w:t>(Through Her Lawful Attorney</w:t>
      </w:r>
    </w:p>
    <w:p w14:paraId="0B837642" w14:textId="7CA4C6E9" w:rsidR="00160EB8" w:rsidRDefault="00160EB8" w:rsidP="00BE0459">
      <w:pPr>
        <w:rPr>
          <w:b/>
          <w:bCs/>
          <w:sz w:val="28"/>
          <w:szCs w:val="28"/>
        </w:rPr>
      </w:pPr>
      <w:r>
        <w:rPr>
          <w:b/>
          <w:bCs/>
          <w:sz w:val="28"/>
          <w:szCs w:val="28"/>
        </w:rPr>
        <w:t>Harun E. Sesay)</w:t>
      </w:r>
    </w:p>
    <w:p w14:paraId="586FCD4F" w14:textId="10B2FEB9" w:rsidR="00160EB8" w:rsidRDefault="00160EB8" w:rsidP="00BE0459">
      <w:pPr>
        <w:rPr>
          <w:b/>
          <w:bCs/>
          <w:sz w:val="28"/>
          <w:szCs w:val="28"/>
        </w:rPr>
      </w:pPr>
      <w:r>
        <w:rPr>
          <w:b/>
          <w:bCs/>
          <w:sz w:val="28"/>
          <w:szCs w:val="28"/>
        </w:rPr>
        <w:t>Freetown</w:t>
      </w:r>
    </w:p>
    <w:p w14:paraId="3DE2B48E" w14:textId="28237403" w:rsidR="00160EB8" w:rsidRDefault="00160EB8" w:rsidP="00BE0459">
      <w:pPr>
        <w:rPr>
          <w:b/>
          <w:bCs/>
          <w:sz w:val="28"/>
          <w:szCs w:val="28"/>
        </w:rPr>
      </w:pPr>
      <w:r>
        <w:rPr>
          <w:b/>
          <w:bCs/>
          <w:sz w:val="28"/>
          <w:szCs w:val="28"/>
        </w:rPr>
        <w:t xml:space="preserve">Counsel: </w:t>
      </w:r>
    </w:p>
    <w:p w14:paraId="1B394E6D" w14:textId="1BEC41A0" w:rsidR="00160EB8" w:rsidRDefault="00F86AFC" w:rsidP="00BE0459">
      <w:pPr>
        <w:rPr>
          <w:b/>
          <w:bCs/>
          <w:sz w:val="28"/>
          <w:szCs w:val="28"/>
        </w:rPr>
      </w:pPr>
      <w:r>
        <w:rPr>
          <w:b/>
          <w:bCs/>
          <w:sz w:val="28"/>
          <w:szCs w:val="28"/>
        </w:rPr>
        <w:t>Isaac David Babatunde John Esq. for the Appellant/Respondent</w:t>
      </w:r>
      <w:r w:rsidR="00BA2FB8">
        <w:rPr>
          <w:b/>
          <w:bCs/>
          <w:sz w:val="28"/>
          <w:szCs w:val="28"/>
        </w:rPr>
        <w:t>.</w:t>
      </w:r>
    </w:p>
    <w:p w14:paraId="197C8B8E" w14:textId="66B07E5A" w:rsidR="00F86AFC" w:rsidRDefault="00F86AFC" w:rsidP="00BE0459">
      <w:pPr>
        <w:rPr>
          <w:b/>
          <w:bCs/>
          <w:sz w:val="28"/>
          <w:szCs w:val="28"/>
        </w:rPr>
      </w:pPr>
      <w:r>
        <w:rPr>
          <w:b/>
          <w:bCs/>
          <w:sz w:val="28"/>
          <w:szCs w:val="28"/>
        </w:rPr>
        <w:t>Samuel Momodu Konteh Esq. for the Respondent/Applicant</w:t>
      </w:r>
      <w:r w:rsidR="00BA2FB8">
        <w:rPr>
          <w:b/>
          <w:bCs/>
          <w:sz w:val="28"/>
          <w:szCs w:val="28"/>
        </w:rPr>
        <w:t>.</w:t>
      </w:r>
    </w:p>
    <w:p w14:paraId="7EF98009" w14:textId="77777777" w:rsidR="008B1E01" w:rsidRDefault="008B1E01" w:rsidP="00BE0459">
      <w:pPr>
        <w:rPr>
          <w:b/>
          <w:bCs/>
          <w:sz w:val="28"/>
          <w:szCs w:val="28"/>
        </w:rPr>
      </w:pPr>
    </w:p>
    <w:p w14:paraId="0EB1BAE4" w14:textId="30A44FB6" w:rsidR="008B1E01" w:rsidRDefault="00F86AFC" w:rsidP="008B1E01">
      <w:pPr>
        <w:jc w:val="both"/>
        <w:rPr>
          <w:b/>
          <w:bCs/>
          <w:sz w:val="28"/>
          <w:szCs w:val="28"/>
          <w:u w:val="single"/>
        </w:rPr>
      </w:pPr>
      <w:r w:rsidRPr="008B1E01">
        <w:rPr>
          <w:b/>
          <w:bCs/>
          <w:sz w:val="28"/>
          <w:szCs w:val="28"/>
          <w:u w:val="single"/>
        </w:rPr>
        <w:t xml:space="preserve">Ruling on </w:t>
      </w:r>
      <w:r w:rsidR="006E3BD3">
        <w:rPr>
          <w:b/>
          <w:bCs/>
          <w:sz w:val="28"/>
          <w:szCs w:val="28"/>
          <w:u w:val="single"/>
        </w:rPr>
        <w:t>a</w:t>
      </w:r>
      <w:r w:rsidRPr="008B1E01">
        <w:rPr>
          <w:b/>
          <w:bCs/>
          <w:sz w:val="28"/>
          <w:szCs w:val="28"/>
          <w:u w:val="single"/>
        </w:rPr>
        <w:t xml:space="preserve"> Preliminary Objection </w:t>
      </w:r>
      <w:r w:rsidR="008B1E01" w:rsidRPr="008B1E01">
        <w:rPr>
          <w:b/>
          <w:bCs/>
          <w:sz w:val="28"/>
          <w:szCs w:val="28"/>
          <w:u w:val="single"/>
        </w:rPr>
        <w:t>to the Contents of</w:t>
      </w:r>
      <w:r w:rsidRPr="008B1E01">
        <w:rPr>
          <w:b/>
          <w:bCs/>
          <w:sz w:val="28"/>
          <w:szCs w:val="28"/>
          <w:u w:val="single"/>
        </w:rPr>
        <w:t xml:space="preserve"> the Notice of Appeal</w:t>
      </w:r>
      <w:r w:rsidR="008B1E01" w:rsidRPr="008B1E01">
        <w:rPr>
          <w:b/>
          <w:bCs/>
          <w:sz w:val="28"/>
          <w:szCs w:val="28"/>
          <w:u w:val="single"/>
        </w:rPr>
        <w:t>, Dated 13</w:t>
      </w:r>
      <w:r w:rsidR="008B1E01" w:rsidRPr="008B1E01">
        <w:rPr>
          <w:b/>
          <w:bCs/>
          <w:sz w:val="28"/>
          <w:szCs w:val="28"/>
          <w:u w:val="single"/>
          <w:vertAlign w:val="superscript"/>
        </w:rPr>
        <w:t>th</w:t>
      </w:r>
      <w:r w:rsidR="008B1E01" w:rsidRPr="008B1E01">
        <w:rPr>
          <w:b/>
          <w:bCs/>
          <w:sz w:val="28"/>
          <w:szCs w:val="28"/>
          <w:u w:val="single"/>
        </w:rPr>
        <w:t xml:space="preserve"> December, 2019, Delivered by The Hon. Dr. Justice Abou B. M. Binneh-Kamara</w:t>
      </w:r>
      <w:r w:rsidR="008B1E01">
        <w:rPr>
          <w:b/>
          <w:bCs/>
          <w:sz w:val="28"/>
          <w:szCs w:val="28"/>
          <w:u w:val="single"/>
        </w:rPr>
        <w:t xml:space="preserve">, </w:t>
      </w:r>
      <w:r w:rsidR="006F2B1B">
        <w:rPr>
          <w:b/>
          <w:bCs/>
          <w:sz w:val="28"/>
          <w:szCs w:val="28"/>
          <w:u w:val="single"/>
        </w:rPr>
        <w:t>on 29</w:t>
      </w:r>
      <w:r w:rsidR="008B1E01" w:rsidRPr="008B1E01">
        <w:rPr>
          <w:b/>
          <w:bCs/>
          <w:sz w:val="28"/>
          <w:szCs w:val="28"/>
          <w:u w:val="single"/>
          <w:vertAlign w:val="superscript"/>
        </w:rPr>
        <w:t>th</w:t>
      </w:r>
      <w:r w:rsidR="008B1E01">
        <w:rPr>
          <w:b/>
          <w:bCs/>
          <w:sz w:val="28"/>
          <w:szCs w:val="28"/>
          <w:u w:val="single"/>
        </w:rPr>
        <w:t xml:space="preserve"> March, 2022.</w:t>
      </w:r>
    </w:p>
    <w:p w14:paraId="2B429DCC" w14:textId="7E00F843" w:rsidR="008B1E01" w:rsidRPr="008B1E01" w:rsidRDefault="008B1E01" w:rsidP="008B1E01">
      <w:pPr>
        <w:pStyle w:val="ListParagraph"/>
        <w:numPr>
          <w:ilvl w:val="1"/>
          <w:numId w:val="1"/>
        </w:numPr>
        <w:jc w:val="both"/>
        <w:rPr>
          <w:b/>
          <w:bCs/>
          <w:sz w:val="28"/>
          <w:szCs w:val="28"/>
          <w:u w:val="single"/>
        </w:rPr>
      </w:pPr>
      <w:r w:rsidRPr="008B1E01">
        <w:rPr>
          <w:b/>
          <w:bCs/>
          <w:sz w:val="28"/>
          <w:szCs w:val="28"/>
          <w:u w:val="single"/>
        </w:rPr>
        <w:t>Th</w:t>
      </w:r>
      <w:r w:rsidR="00215B49">
        <w:rPr>
          <w:b/>
          <w:bCs/>
          <w:sz w:val="28"/>
          <w:szCs w:val="28"/>
          <w:u w:val="single"/>
        </w:rPr>
        <w:t xml:space="preserve"> Background to the</w:t>
      </w:r>
      <w:r w:rsidRPr="008B1E01">
        <w:rPr>
          <w:b/>
          <w:bCs/>
          <w:sz w:val="28"/>
          <w:szCs w:val="28"/>
          <w:u w:val="single"/>
        </w:rPr>
        <w:t xml:space="preserve"> Preliminary Objection</w:t>
      </w:r>
      <w:r w:rsidR="00215B49">
        <w:rPr>
          <w:b/>
          <w:bCs/>
          <w:sz w:val="28"/>
          <w:szCs w:val="28"/>
          <w:u w:val="single"/>
        </w:rPr>
        <w:t>.</w:t>
      </w:r>
    </w:p>
    <w:p w14:paraId="568FE8D0" w14:textId="69E357AA" w:rsidR="00E80A27" w:rsidRDefault="008B1E01" w:rsidP="008B1E01">
      <w:pPr>
        <w:jc w:val="both"/>
        <w:rPr>
          <w:sz w:val="28"/>
          <w:szCs w:val="28"/>
        </w:rPr>
      </w:pPr>
      <w:r>
        <w:rPr>
          <w:sz w:val="28"/>
          <w:szCs w:val="28"/>
        </w:rPr>
        <w:t>When this matter first came up for hearing on the 24</w:t>
      </w:r>
      <w:r w:rsidRPr="008B1E01">
        <w:rPr>
          <w:sz w:val="28"/>
          <w:szCs w:val="28"/>
          <w:vertAlign w:val="superscript"/>
        </w:rPr>
        <w:t>th</w:t>
      </w:r>
      <w:r>
        <w:rPr>
          <w:sz w:val="28"/>
          <w:szCs w:val="28"/>
        </w:rPr>
        <w:t xml:space="preserve"> March</w:t>
      </w:r>
      <w:r w:rsidR="00D93DFB">
        <w:rPr>
          <w:sz w:val="28"/>
          <w:szCs w:val="28"/>
        </w:rPr>
        <w:t>,</w:t>
      </w:r>
      <w:r>
        <w:rPr>
          <w:sz w:val="28"/>
          <w:szCs w:val="28"/>
        </w:rPr>
        <w:t xml:space="preserve"> 2020, I</w:t>
      </w:r>
      <w:r w:rsidR="00D93DFB">
        <w:rPr>
          <w:sz w:val="28"/>
          <w:szCs w:val="28"/>
        </w:rPr>
        <w:t>.</w:t>
      </w:r>
      <w:r>
        <w:rPr>
          <w:sz w:val="28"/>
          <w:szCs w:val="28"/>
        </w:rPr>
        <w:t>D</w:t>
      </w:r>
      <w:r w:rsidR="00D93DFB">
        <w:rPr>
          <w:sz w:val="28"/>
          <w:szCs w:val="28"/>
        </w:rPr>
        <w:t>.</w:t>
      </w:r>
      <w:r>
        <w:rPr>
          <w:sz w:val="28"/>
          <w:szCs w:val="28"/>
        </w:rPr>
        <w:t>B</w:t>
      </w:r>
      <w:r w:rsidR="00D93DFB">
        <w:rPr>
          <w:sz w:val="28"/>
          <w:szCs w:val="28"/>
        </w:rPr>
        <w:t>.</w:t>
      </w:r>
      <w:r>
        <w:rPr>
          <w:sz w:val="28"/>
          <w:szCs w:val="28"/>
        </w:rPr>
        <w:t xml:space="preserve"> John Esq. immediately</w:t>
      </w:r>
      <w:r w:rsidR="009A1B8B">
        <w:rPr>
          <w:sz w:val="28"/>
          <w:szCs w:val="28"/>
        </w:rPr>
        <w:t xml:space="preserve"> moved this Honourable Court on the contents of a </w:t>
      </w:r>
      <w:r w:rsidR="00000126">
        <w:rPr>
          <w:sz w:val="28"/>
          <w:szCs w:val="28"/>
        </w:rPr>
        <w:t>N</w:t>
      </w:r>
      <w:r w:rsidR="009A1B8B">
        <w:rPr>
          <w:sz w:val="28"/>
          <w:szCs w:val="28"/>
        </w:rPr>
        <w:t xml:space="preserve">otice of </w:t>
      </w:r>
      <w:r w:rsidR="00000126">
        <w:rPr>
          <w:sz w:val="28"/>
          <w:szCs w:val="28"/>
        </w:rPr>
        <w:t>A</w:t>
      </w:r>
      <w:r w:rsidR="009A1B8B">
        <w:rPr>
          <w:sz w:val="28"/>
          <w:szCs w:val="28"/>
        </w:rPr>
        <w:t>ppeal, dated the 13</w:t>
      </w:r>
      <w:r w:rsidR="009A1B8B" w:rsidRPr="009A1B8B">
        <w:rPr>
          <w:sz w:val="28"/>
          <w:szCs w:val="28"/>
          <w:vertAlign w:val="superscript"/>
        </w:rPr>
        <w:t>th</w:t>
      </w:r>
      <w:r w:rsidR="009A1B8B">
        <w:rPr>
          <w:sz w:val="28"/>
          <w:szCs w:val="28"/>
        </w:rPr>
        <w:t xml:space="preserve"> day of December, 2019. Counsel emphatically stated that his client’s </w:t>
      </w:r>
      <w:r w:rsidR="009A1B8B">
        <w:rPr>
          <w:sz w:val="28"/>
          <w:szCs w:val="28"/>
        </w:rPr>
        <w:lastRenderedPageBreak/>
        <w:t>case is predicated on the final decision of Magistrate</w:t>
      </w:r>
      <w:r w:rsidR="00D93DFB">
        <w:rPr>
          <w:sz w:val="28"/>
          <w:szCs w:val="28"/>
        </w:rPr>
        <w:t xml:space="preserve"> Ladonnet</w:t>
      </w:r>
      <w:r w:rsidR="009A1B8B">
        <w:rPr>
          <w:sz w:val="28"/>
          <w:szCs w:val="28"/>
        </w:rPr>
        <w:t xml:space="preserve"> Macaulay</w:t>
      </w:r>
      <w:r w:rsidR="00000126">
        <w:rPr>
          <w:sz w:val="28"/>
          <w:szCs w:val="28"/>
        </w:rPr>
        <w:t xml:space="preserve"> of the Headquarters Judicial District, Waterloo, Western Area Rural, in the Republic of Sierra Leone,</w:t>
      </w:r>
      <w:r w:rsidR="009A1B8B">
        <w:rPr>
          <w:sz w:val="28"/>
          <w:szCs w:val="28"/>
        </w:rPr>
        <w:t xml:space="preserve"> in respect of her </w:t>
      </w:r>
      <w:r w:rsidR="006F2B1B">
        <w:rPr>
          <w:sz w:val="28"/>
          <w:szCs w:val="28"/>
        </w:rPr>
        <w:t>J</w:t>
      </w:r>
      <w:r w:rsidR="00000126">
        <w:rPr>
          <w:sz w:val="28"/>
          <w:szCs w:val="28"/>
        </w:rPr>
        <w:t>udgment</w:t>
      </w:r>
      <w:r w:rsidR="009A1B8B">
        <w:rPr>
          <w:sz w:val="28"/>
          <w:szCs w:val="28"/>
        </w:rPr>
        <w:t xml:space="preserve"> of 11</w:t>
      </w:r>
      <w:r w:rsidR="009A1B8B" w:rsidRPr="009A1B8B">
        <w:rPr>
          <w:sz w:val="28"/>
          <w:szCs w:val="28"/>
          <w:vertAlign w:val="superscript"/>
        </w:rPr>
        <w:t>th</w:t>
      </w:r>
      <w:r w:rsidR="009A1B8B">
        <w:rPr>
          <w:sz w:val="28"/>
          <w:szCs w:val="28"/>
        </w:rPr>
        <w:t xml:space="preserve"> July</w:t>
      </w:r>
      <w:r w:rsidR="00D93DFB">
        <w:rPr>
          <w:sz w:val="28"/>
          <w:szCs w:val="28"/>
        </w:rPr>
        <w:t>,</w:t>
      </w:r>
      <w:r w:rsidR="009A1B8B">
        <w:rPr>
          <w:sz w:val="28"/>
          <w:szCs w:val="28"/>
        </w:rPr>
        <w:t xml:space="preserve"> 2019; noting that his grounds of appeal </w:t>
      </w:r>
      <w:r w:rsidR="008E5575">
        <w:rPr>
          <w:sz w:val="28"/>
          <w:szCs w:val="28"/>
        </w:rPr>
        <w:t xml:space="preserve">are clearly </w:t>
      </w:r>
      <w:r w:rsidR="009A1B8B">
        <w:rPr>
          <w:sz w:val="28"/>
          <w:szCs w:val="28"/>
        </w:rPr>
        <w:t xml:space="preserve">articulated in the </w:t>
      </w:r>
      <w:r w:rsidR="00000126">
        <w:rPr>
          <w:sz w:val="28"/>
          <w:szCs w:val="28"/>
        </w:rPr>
        <w:t xml:space="preserve">Notice of Appeal. He furthered that the reliefs which the Appellant seeks of this Honourable Court, are clearly stated in </w:t>
      </w:r>
      <w:r w:rsidR="009D7C78">
        <w:rPr>
          <w:sz w:val="28"/>
          <w:szCs w:val="28"/>
        </w:rPr>
        <w:t>Ground III of the Notice of Appeal.</w:t>
      </w:r>
      <w:r w:rsidR="00D93DFB">
        <w:rPr>
          <w:sz w:val="28"/>
          <w:szCs w:val="28"/>
        </w:rPr>
        <w:t xml:space="preserve"> </w:t>
      </w:r>
      <w:r w:rsidR="009D7C78">
        <w:rPr>
          <w:sz w:val="28"/>
          <w:szCs w:val="28"/>
        </w:rPr>
        <w:t xml:space="preserve">Counsel </w:t>
      </w:r>
      <w:r w:rsidR="00CC740A">
        <w:rPr>
          <w:sz w:val="28"/>
          <w:szCs w:val="28"/>
        </w:rPr>
        <w:t>reiterated</w:t>
      </w:r>
      <w:r w:rsidR="009D7C78">
        <w:rPr>
          <w:sz w:val="28"/>
          <w:szCs w:val="28"/>
        </w:rPr>
        <w:t xml:space="preserve"> that his client is in possession of a title deed in respect of the realty, from which he has been evicted; adding that such a title deed was exhibited in the Notice of Motion, dated 20</w:t>
      </w:r>
      <w:r w:rsidR="009D7C78" w:rsidRPr="009D7C78">
        <w:rPr>
          <w:sz w:val="28"/>
          <w:szCs w:val="28"/>
          <w:vertAlign w:val="superscript"/>
        </w:rPr>
        <w:t>th</w:t>
      </w:r>
      <w:r w:rsidR="009D7C78">
        <w:rPr>
          <w:sz w:val="28"/>
          <w:szCs w:val="28"/>
        </w:rPr>
        <w:t xml:space="preserve"> September 2019, which was moved before His Lordship Justice A. K. Musa.</w:t>
      </w:r>
      <w:r w:rsidR="00EA2E81">
        <w:rPr>
          <w:sz w:val="28"/>
          <w:szCs w:val="28"/>
        </w:rPr>
        <w:t xml:space="preserve"> </w:t>
      </w:r>
      <w:r w:rsidR="009D7C78">
        <w:rPr>
          <w:sz w:val="28"/>
          <w:szCs w:val="28"/>
        </w:rPr>
        <w:t xml:space="preserve">However, since the Notice of Appeal was being moved in the absence of Counsel on the other side (Samuel Momodu Konteh Esq.), this Honourable Court could not allow </w:t>
      </w:r>
      <w:r w:rsidR="00215B49">
        <w:rPr>
          <w:sz w:val="28"/>
          <w:szCs w:val="28"/>
        </w:rPr>
        <w:t>I</w:t>
      </w:r>
      <w:r w:rsidR="00D93DFB">
        <w:rPr>
          <w:sz w:val="28"/>
          <w:szCs w:val="28"/>
        </w:rPr>
        <w:t>.</w:t>
      </w:r>
      <w:r w:rsidR="00215B49">
        <w:rPr>
          <w:sz w:val="28"/>
          <w:szCs w:val="28"/>
        </w:rPr>
        <w:t>B</w:t>
      </w:r>
      <w:r w:rsidR="00D93DFB">
        <w:rPr>
          <w:sz w:val="28"/>
          <w:szCs w:val="28"/>
        </w:rPr>
        <w:t>.</w:t>
      </w:r>
      <w:r w:rsidR="00215B49">
        <w:rPr>
          <w:sz w:val="28"/>
          <w:szCs w:val="28"/>
        </w:rPr>
        <w:t xml:space="preserve">D John Esq. to proceed beyond this point; </w:t>
      </w:r>
      <w:r w:rsidR="00CC740A">
        <w:rPr>
          <w:sz w:val="28"/>
          <w:szCs w:val="28"/>
        </w:rPr>
        <w:t>emphasizing</w:t>
      </w:r>
      <w:r w:rsidR="00215B49">
        <w:rPr>
          <w:sz w:val="28"/>
          <w:szCs w:val="28"/>
        </w:rPr>
        <w:t xml:space="preserve"> that it would be judiciously expedient for the application to be completely moved in the presence of Counsel on the other side. The Court therefor</w:t>
      </w:r>
      <w:r w:rsidR="00CC740A">
        <w:rPr>
          <w:sz w:val="28"/>
          <w:szCs w:val="28"/>
        </w:rPr>
        <w:t>e</w:t>
      </w:r>
      <w:r w:rsidR="00215B49">
        <w:rPr>
          <w:sz w:val="28"/>
          <w:szCs w:val="28"/>
        </w:rPr>
        <w:t xml:space="preserve"> made an order for a notice of haring to be sent to the absent Counsel. </w:t>
      </w:r>
    </w:p>
    <w:p w14:paraId="1F4C13F4" w14:textId="07F0C129" w:rsidR="000C1473" w:rsidRDefault="00215B49" w:rsidP="008B1E01">
      <w:pPr>
        <w:jc w:val="both"/>
        <w:rPr>
          <w:sz w:val="28"/>
          <w:szCs w:val="28"/>
        </w:rPr>
      </w:pPr>
      <w:r>
        <w:rPr>
          <w:sz w:val="28"/>
          <w:szCs w:val="28"/>
        </w:rPr>
        <w:t>Consequently, on the 31</w:t>
      </w:r>
      <w:r w:rsidRPr="00215B49">
        <w:rPr>
          <w:sz w:val="28"/>
          <w:szCs w:val="28"/>
          <w:vertAlign w:val="superscript"/>
        </w:rPr>
        <w:t>st</w:t>
      </w:r>
      <w:r>
        <w:rPr>
          <w:sz w:val="28"/>
          <w:szCs w:val="28"/>
        </w:rPr>
        <w:t xml:space="preserve"> March 2020, when the hitherto absent Counsel appeared, he confirmed to this Honourable Court</w:t>
      </w:r>
      <w:r w:rsidR="00CC740A">
        <w:rPr>
          <w:sz w:val="28"/>
          <w:szCs w:val="28"/>
        </w:rPr>
        <w:t>,</w:t>
      </w:r>
      <w:r>
        <w:rPr>
          <w:sz w:val="28"/>
          <w:szCs w:val="28"/>
        </w:rPr>
        <w:t xml:space="preserve"> that he was going to take </w:t>
      </w:r>
      <w:r w:rsidR="00CC740A">
        <w:rPr>
          <w:sz w:val="28"/>
          <w:szCs w:val="28"/>
        </w:rPr>
        <w:t xml:space="preserve">a </w:t>
      </w:r>
      <w:r>
        <w:rPr>
          <w:sz w:val="28"/>
          <w:szCs w:val="28"/>
        </w:rPr>
        <w:t xml:space="preserve">preliminary objection to the Notice of Appeal that was being moved by the other Counsel, who was also absent on that other day. </w:t>
      </w:r>
      <w:r w:rsidR="004713BA">
        <w:rPr>
          <w:sz w:val="28"/>
          <w:szCs w:val="28"/>
        </w:rPr>
        <w:t xml:space="preserve"> </w:t>
      </w:r>
      <w:r>
        <w:rPr>
          <w:sz w:val="28"/>
          <w:szCs w:val="28"/>
        </w:rPr>
        <w:t>Meanwhile, on the 12</w:t>
      </w:r>
      <w:r w:rsidRPr="00215B49">
        <w:rPr>
          <w:sz w:val="28"/>
          <w:szCs w:val="28"/>
          <w:vertAlign w:val="superscript"/>
        </w:rPr>
        <w:t>th</w:t>
      </w:r>
      <w:r>
        <w:rPr>
          <w:sz w:val="28"/>
          <w:szCs w:val="28"/>
        </w:rPr>
        <w:t xml:space="preserve"> November 2020</w:t>
      </w:r>
      <w:r w:rsidR="00D93DFB">
        <w:rPr>
          <w:sz w:val="28"/>
          <w:szCs w:val="28"/>
        </w:rPr>
        <w:t>,</w:t>
      </w:r>
      <w:r>
        <w:rPr>
          <w:sz w:val="28"/>
          <w:szCs w:val="28"/>
        </w:rPr>
        <w:t xml:space="preserve"> both </w:t>
      </w:r>
      <w:r w:rsidR="00B6126C">
        <w:rPr>
          <w:sz w:val="28"/>
          <w:szCs w:val="28"/>
        </w:rPr>
        <w:t>I</w:t>
      </w:r>
      <w:r w:rsidR="00D93DFB">
        <w:rPr>
          <w:sz w:val="28"/>
          <w:szCs w:val="28"/>
        </w:rPr>
        <w:t>.</w:t>
      </w:r>
      <w:r w:rsidR="00B6126C">
        <w:rPr>
          <w:sz w:val="28"/>
          <w:szCs w:val="28"/>
        </w:rPr>
        <w:t>D</w:t>
      </w:r>
      <w:r w:rsidR="00D93DFB">
        <w:rPr>
          <w:sz w:val="28"/>
          <w:szCs w:val="28"/>
        </w:rPr>
        <w:t>.</w:t>
      </w:r>
      <w:r w:rsidR="00B6126C">
        <w:rPr>
          <w:sz w:val="28"/>
          <w:szCs w:val="28"/>
        </w:rPr>
        <w:t>B John Esq. and Samuel Momodu Konteh Esq. were present; and the latter requested for an adjournment to go file a notice of intention to raise</w:t>
      </w:r>
      <w:r w:rsidR="00CC740A">
        <w:rPr>
          <w:sz w:val="28"/>
          <w:szCs w:val="28"/>
        </w:rPr>
        <w:t xml:space="preserve"> a</w:t>
      </w:r>
      <w:r w:rsidR="00B6126C">
        <w:rPr>
          <w:sz w:val="28"/>
          <w:szCs w:val="28"/>
        </w:rPr>
        <w:t xml:space="preserve"> preliminary objection to the contents of the papers filed by the former. </w:t>
      </w:r>
      <w:r w:rsidR="002E10A5">
        <w:rPr>
          <w:sz w:val="28"/>
          <w:szCs w:val="28"/>
        </w:rPr>
        <w:t>Thus,</w:t>
      </w:r>
      <w:r w:rsidR="00B6126C">
        <w:rPr>
          <w:sz w:val="28"/>
          <w:szCs w:val="28"/>
        </w:rPr>
        <w:t xml:space="preserve"> the adjournment as requested was accordingly granted</w:t>
      </w:r>
      <w:r w:rsidR="002E10A5">
        <w:rPr>
          <w:sz w:val="28"/>
          <w:szCs w:val="28"/>
        </w:rPr>
        <w:t>.</w:t>
      </w:r>
      <w:r w:rsidR="00EA2E81">
        <w:rPr>
          <w:sz w:val="28"/>
          <w:szCs w:val="28"/>
        </w:rPr>
        <w:t xml:space="preserve"> </w:t>
      </w:r>
      <w:r w:rsidR="002E10A5">
        <w:rPr>
          <w:sz w:val="28"/>
          <w:szCs w:val="28"/>
        </w:rPr>
        <w:t>M</w:t>
      </w:r>
      <w:r w:rsidR="00EA2E81">
        <w:rPr>
          <w:sz w:val="28"/>
          <w:szCs w:val="28"/>
        </w:rPr>
        <w:t>oreover</w:t>
      </w:r>
      <w:r w:rsidR="002E10A5">
        <w:rPr>
          <w:sz w:val="28"/>
          <w:szCs w:val="28"/>
        </w:rPr>
        <w:t>, on 19</w:t>
      </w:r>
      <w:r w:rsidR="002E10A5" w:rsidRPr="002E10A5">
        <w:rPr>
          <w:sz w:val="28"/>
          <w:szCs w:val="28"/>
          <w:vertAlign w:val="superscript"/>
        </w:rPr>
        <w:t>th</w:t>
      </w:r>
      <w:r w:rsidR="002E10A5">
        <w:rPr>
          <w:sz w:val="28"/>
          <w:szCs w:val="28"/>
        </w:rPr>
        <w:t xml:space="preserve"> November 2020</w:t>
      </w:r>
      <w:r w:rsidR="00C543BB">
        <w:rPr>
          <w:sz w:val="28"/>
          <w:szCs w:val="28"/>
        </w:rPr>
        <w:t>,</w:t>
      </w:r>
      <w:r w:rsidR="002E10A5">
        <w:rPr>
          <w:sz w:val="28"/>
          <w:szCs w:val="28"/>
        </w:rPr>
        <w:t xml:space="preserve"> Samuel Momodu Konteh Esq. moved the Court, pursuant to Order 46 Rule 10 of the High Court Rules, 2007</w:t>
      </w:r>
      <w:r w:rsidR="000C1473">
        <w:rPr>
          <w:sz w:val="28"/>
          <w:szCs w:val="28"/>
        </w:rPr>
        <w:t xml:space="preserve"> (hereinafter referred to as The HCR, 2007)</w:t>
      </w:r>
      <w:r w:rsidR="002E10A5">
        <w:rPr>
          <w:sz w:val="28"/>
          <w:szCs w:val="28"/>
        </w:rPr>
        <w:t xml:space="preserve"> on the contents of his notice of intention to raise</w:t>
      </w:r>
      <w:r w:rsidR="00C543BB">
        <w:rPr>
          <w:sz w:val="28"/>
          <w:szCs w:val="28"/>
        </w:rPr>
        <w:t xml:space="preserve"> a</w:t>
      </w:r>
      <w:r w:rsidR="002E10A5">
        <w:rPr>
          <w:sz w:val="28"/>
          <w:szCs w:val="28"/>
        </w:rPr>
        <w:t xml:space="preserve"> preliminary objection, dated 16</w:t>
      </w:r>
      <w:r w:rsidR="002E10A5" w:rsidRPr="002E10A5">
        <w:rPr>
          <w:sz w:val="28"/>
          <w:szCs w:val="28"/>
          <w:vertAlign w:val="superscript"/>
        </w:rPr>
        <w:t>th</w:t>
      </w:r>
      <w:r w:rsidR="002E10A5">
        <w:rPr>
          <w:sz w:val="28"/>
          <w:szCs w:val="28"/>
        </w:rPr>
        <w:t xml:space="preserve"> October 2020 to the Notice of Appeal, dated 13</w:t>
      </w:r>
      <w:r w:rsidR="002E10A5" w:rsidRPr="002E10A5">
        <w:rPr>
          <w:sz w:val="28"/>
          <w:szCs w:val="28"/>
          <w:vertAlign w:val="superscript"/>
        </w:rPr>
        <w:t>th</w:t>
      </w:r>
      <w:r w:rsidR="002E10A5">
        <w:rPr>
          <w:sz w:val="28"/>
          <w:szCs w:val="28"/>
        </w:rPr>
        <w:t xml:space="preserve"> December</w:t>
      </w:r>
      <w:r w:rsidR="00024A36">
        <w:rPr>
          <w:sz w:val="28"/>
          <w:szCs w:val="28"/>
        </w:rPr>
        <w:t xml:space="preserve">, </w:t>
      </w:r>
      <w:r w:rsidR="002E10A5">
        <w:rPr>
          <w:sz w:val="28"/>
          <w:szCs w:val="28"/>
        </w:rPr>
        <w:t>2019</w:t>
      </w:r>
      <w:r w:rsidR="004936FD">
        <w:rPr>
          <w:sz w:val="28"/>
          <w:szCs w:val="28"/>
        </w:rPr>
        <w:t>,</w:t>
      </w:r>
      <w:r w:rsidR="002E10A5">
        <w:rPr>
          <w:sz w:val="28"/>
          <w:szCs w:val="28"/>
        </w:rPr>
        <w:t xml:space="preserve"> filed by I</w:t>
      </w:r>
      <w:r w:rsidR="00BF272E">
        <w:rPr>
          <w:sz w:val="28"/>
          <w:szCs w:val="28"/>
        </w:rPr>
        <w:t>.</w:t>
      </w:r>
      <w:r w:rsidR="002E10A5">
        <w:rPr>
          <w:sz w:val="28"/>
          <w:szCs w:val="28"/>
        </w:rPr>
        <w:t>D</w:t>
      </w:r>
      <w:r w:rsidR="00BF272E">
        <w:rPr>
          <w:sz w:val="28"/>
          <w:szCs w:val="28"/>
        </w:rPr>
        <w:t>.</w:t>
      </w:r>
      <w:r w:rsidR="002E10A5">
        <w:rPr>
          <w:sz w:val="28"/>
          <w:szCs w:val="28"/>
        </w:rPr>
        <w:t>B John Esq.</w:t>
      </w:r>
      <w:r w:rsidR="000C1473">
        <w:rPr>
          <w:sz w:val="28"/>
          <w:szCs w:val="28"/>
        </w:rPr>
        <w:t xml:space="preserve"> The said provision in The HCR, 2007</w:t>
      </w:r>
      <w:r w:rsidR="00BF272E">
        <w:rPr>
          <w:sz w:val="28"/>
          <w:szCs w:val="28"/>
        </w:rPr>
        <w:t xml:space="preserve"> which concerns conditional judgment waiver</w:t>
      </w:r>
      <w:r w:rsidR="000C1473">
        <w:rPr>
          <w:sz w:val="28"/>
          <w:szCs w:val="28"/>
        </w:rPr>
        <w:t xml:space="preserve"> thus states:</w:t>
      </w:r>
    </w:p>
    <w:p w14:paraId="1D50BA4E" w14:textId="12E9258F" w:rsidR="00BF272E" w:rsidRDefault="000C1473" w:rsidP="000C1473">
      <w:pPr>
        <w:ind w:left="720"/>
        <w:jc w:val="both"/>
        <w:rPr>
          <w:b/>
          <w:bCs/>
          <w:sz w:val="28"/>
          <w:szCs w:val="28"/>
        </w:rPr>
      </w:pPr>
      <w:r w:rsidRPr="00BF272E">
        <w:rPr>
          <w:b/>
          <w:bCs/>
          <w:sz w:val="28"/>
          <w:szCs w:val="28"/>
        </w:rPr>
        <w:t xml:space="preserve">A party entitled under any Judgment or order to any relief subject to the fulfilment of any condition who fails to fulfil that condition is deemed to have abandoned the benefit of the </w:t>
      </w:r>
      <w:r w:rsidR="00BF272E" w:rsidRPr="00BF272E">
        <w:rPr>
          <w:b/>
          <w:bCs/>
          <w:sz w:val="28"/>
          <w:szCs w:val="28"/>
        </w:rPr>
        <w:t>j</w:t>
      </w:r>
      <w:r w:rsidRPr="00BF272E">
        <w:rPr>
          <w:b/>
          <w:bCs/>
          <w:sz w:val="28"/>
          <w:szCs w:val="28"/>
        </w:rPr>
        <w:t>udgment or order, and, unless the court otherwise directs</w:t>
      </w:r>
      <w:r w:rsidR="00BF272E" w:rsidRPr="00BF272E">
        <w:rPr>
          <w:b/>
          <w:bCs/>
          <w:sz w:val="28"/>
          <w:szCs w:val="28"/>
        </w:rPr>
        <w:t>, any other person interested may take any proceeding</w:t>
      </w:r>
      <w:r w:rsidR="00C543BB">
        <w:rPr>
          <w:b/>
          <w:bCs/>
          <w:sz w:val="28"/>
          <w:szCs w:val="28"/>
        </w:rPr>
        <w:t>s</w:t>
      </w:r>
      <w:r w:rsidR="00BF272E" w:rsidRPr="00BF272E">
        <w:rPr>
          <w:b/>
          <w:bCs/>
          <w:sz w:val="28"/>
          <w:szCs w:val="28"/>
        </w:rPr>
        <w:t xml:space="preserve"> </w:t>
      </w:r>
      <w:r w:rsidR="00BF272E" w:rsidRPr="00BF272E">
        <w:rPr>
          <w:b/>
          <w:bCs/>
          <w:sz w:val="28"/>
          <w:szCs w:val="28"/>
        </w:rPr>
        <w:lastRenderedPageBreak/>
        <w:t>which either are warranted by the judgment or order or might have been taken if the judgment or order had not been given or made.</w:t>
      </w:r>
      <w:r w:rsidRPr="00BF272E">
        <w:rPr>
          <w:b/>
          <w:bCs/>
          <w:sz w:val="28"/>
          <w:szCs w:val="28"/>
        </w:rPr>
        <w:t xml:space="preserve">  </w:t>
      </w:r>
    </w:p>
    <w:p w14:paraId="729DA20E" w14:textId="20FA61F2" w:rsidR="00412EF9" w:rsidRDefault="002E10A5" w:rsidP="00BF272E">
      <w:pPr>
        <w:jc w:val="both"/>
        <w:rPr>
          <w:sz w:val="28"/>
          <w:szCs w:val="28"/>
        </w:rPr>
      </w:pPr>
      <w:r w:rsidRPr="00BF272E">
        <w:rPr>
          <w:b/>
          <w:bCs/>
          <w:sz w:val="28"/>
          <w:szCs w:val="28"/>
        </w:rPr>
        <w:t xml:space="preserve"> </w:t>
      </w:r>
      <w:r w:rsidR="008B1E01" w:rsidRPr="00BF272E">
        <w:rPr>
          <w:b/>
          <w:bCs/>
          <w:sz w:val="28"/>
          <w:szCs w:val="28"/>
        </w:rPr>
        <w:t xml:space="preserve"> </w:t>
      </w:r>
      <w:r w:rsidR="00EA2E81">
        <w:rPr>
          <w:sz w:val="28"/>
          <w:szCs w:val="28"/>
        </w:rPr>
        <w:t>Essentially,</w:t>
      </w:r>
      <w:r w:rsidR="00C543BB">
        <w:rPr>
          <w:sz w:val="28"/>
          <w:szCs w:val="28"/>
        </w:rPr>
        <w:t xml:space="preserve"> in accordance with the aforementioned provision,</w:t>
      </w:r>
      <w:r w:rsidR="00EA2E81">
        <w:rPr>
          <w:sz w:val="28"/>
          <w:szCs w:val="28"/>
        </w:rPr>
        <w:t xml:space="preserve"> Samuel Momodu Konteh Esq. submitted that the Appellant cannot benefit form Justice A.K. Musa’s judgment, because he has not complied with</w:t>
      </w:r>
      <w:r w:rsidR="00024A36">
        <w:rPr>
          <w:sz w:val="28"/>
          <w:szCs w:val="28"/>
        </w:rPr>
        <w:t xml:space="preserve"> all</w:t>
      </w:r>
      <w:r w:rsidR="00EA2E81">
        <w:rPr>
          <w:sz w:val="28"/>
          <w:szCs w:val="28"/>
        </w:rPr>
        <w:t xml:space="preserve"> the conditions therein. However, when this Honourable Court examined the contents of the notice of intention to raise the preliminary objection, it reckoned that the Judgment of Justice A. K. Musa, </w:t>
      </w:r>
      <w:r w:rsidR="00C543BB">
        <w:rPr>
          <w:sz w:val="28"/>
          <w:szCs w:val="28"/>
        </w:rPr>
        <w:t>that</w:t>
      </w:r>
      <w:r w:rsidR="00EA2E81">
        <w:rPr>
          <w:sz w:val="28"/>
          <w:szCs w:val="28"/>
        </w:rPr>
        <w:t xml:space="preserve"> was being referenced by Counsel, was not at all exhibited. </w:t>
      </w:r>
      <w:r w:rsidR="00412EF9">
        <w:rPr>
          <w:sz w:val="28"/>
          <w:szCs w:val="28"/>
        </w:rPr>
        <w:t xml:space="preserve">On that note, the Court ordered that the said </w:t>
      </w:r>
      <w:r w:rsidR="00024A36">
        <w:rPr>
          <w:sz w:val="28"/>
          <w:szCs w:val="28"/>
        </w:rPr>
        <w:t>J</w:t>
      </w:r>
      <w:r w:rsidR="00412EF9">
        <w:rPr>
          <w:sz w:val="28"/>
          <w:szCs w:val="28"/>
        </w:rPr>
        <w:t>udgment, should be accordingly filed and exhibited, if it is to form the basis of the preliminary objection, that w</w:t>
      </w:r>
      <w:r w:rsidR="00C543BB">
        <w:rPr>
          <w:sz w:val="28"/>
          <w:szCs w:val="28"/>
        </w:rPr>
        <w:t>as</w:t>
      </w:r>
      <w:r w:rsidR="00412EF9">
        <w:rPr>
          <w:sz w:val="28"/>
          <w:szCs w:val="28"/>
        </w:rPr>
        <w:t xml:space="preserve"> to be raised. Nonetheless, this order was thus subsequently complied with and this Honourable Court proceeded to hear the contents of the preliminary objection.</w:t>
      </w:r>
    </w:p>
    <w:p w14:paraId="7B50B6CE" w14:textId="55106596" w:rsidR="00412EF9" w:rsidRPr="00412EF9" w:rsidRDefault="00412EF9" w:rsidP="00412EF9">
      <w:pPr>
        <w:pStyle w:val="ListParagraph"/>
        <w:numPr>
          <w:ilvl w:val="1"/>
          <w:numId w:val="1"/>
        </w:numPr>
        <w:jc w:val="both"/>
        <w:rPr>
          <w:b/>
          <w:bCs/>
          <w:sz w:val="28"/>
          <w:szCs w:val="28"/>
          <w:u w:val="single"/>
        </w:rPr>
      </w:pPr>
      <w:r w:rsidRPr="00412EF9">
        <w:rPr>
          <w:b/>
          <w:bCs/>
          <w:sz w:val="28"/>
          <w:szCs w:val="28"/>
          <w:u w:val="single"/>
        </w:rPr>
        <w:t>The Preliminary Objection and the Response Thereto.</w:t>
      </w:r>
    </w:p>
    <w:p w14:paraId="70401AE9" w14:textId="7115FD3C" w:rsidR="00BA3D9D" w:rsidRDefault="00BA3D9D" w:rsidP="00412EF9">
      <w:pPr>
        <w:jc w:val="both"/>
        <w:rPr>
          <w:sz w:val="28"/>
          <w:szCs w:val="28"/>
        </w:rPr>
      </w:pPr>
      <w:r>
        <w:rPr>
          <w:sz w:val="28"/>
          <w:szCs w:val="28"/>
        </w:rPr>
        <w:t xml:space="preserve">The preliminary objection </w:t>
      </w:r>
      <w:r w:rsidR="00947A8F">
        <w:rPr>
          <w:sz w:val="28"/>
          <w:szCs w:val="28"/>
        </w:rPr>
        <w:t>is</w:t>
      </w:r>
      <w:r>
        <w:rPr>
          <w:sz w:val="28"/>
          <w:szCs w:val="28"/>
        </w:rPr>
        <w:t xml:space="preserve"> rationalised in the following points:</w:t>
      </w:r>
    </w:p>
    <w:p w14:paraId="3636E3FB" w14:textId="30707371" w:rsidR="00BA3D9D" w:rsidRDefault="00BA3D9D" w:rsidP="00BA3D9D">
      <w:pPr>
        <w:pStyle w:val="ListParagraph"/>
        <w:numPr>
          <w:ilvl w:val="0"/>
          <w:numId w:val="2"/>
        </w:numPr>
        <w:jc w:val="both"/>
        <w:rPr>
          <w:b/>
          <w:bCs/>
          <w:sz w:val="28"/>
          <w:szCs w:val="28"/>
          <w:u w:val="single"/>
        </w:rPr>
      </w:pPr>
      <w:r>
        <w:rPr>
          <w:sz w:val="28"/>
          <w:szCs w:val="28"/>
        </w:rPr>
        <w:t xml:space="preserve">That the Appellant has failed to fulfil all the conditions of the orders of the Learned </w:t>
      </w:r>
      <w:r w:rsidR="00C543BB">
        <w:rPr>
          <w:sz w:val="28"/>
          <w:szCs w:val="28"/>
        </w:rPr>
        <w:t xml:space="preserve">Hon. </w:t>
      </w:r>
      <w:r>
        <w:rPr>
          <w:sz w:val="28"/>
          <w:szCs w:val="28"/>
        </w:rPr>
        <w:t>Mr. Justice A. K. Musa J. dated 1</w:t>
      </w:r>
      <w:r w:rsidR="006B57A6">
        <w:rPr>
          <w:sz w:val="28"/>
          <w:szCs w:val="28"/>
        </w:rPr>
        <w:t>0</w:t>
      </w:r>
      <w:r w:rsidR="006B57A6" w:rsidRPr="006B57A6">
        <w:rPr>
          <w:sz w:val="28"/>
          <w:szCs w:val="28"/>
          <w:vertAlign w:val="superscript"/>
        </w:rPr>
        <w:t>th</w:t>
      </w:r>
      <w:r w:rsidR="006B57A6">
        <w:rPr>
          <w:sz w:val="28"/>
          <w:szCs w:val="28"/>
        </w:rPr>
        <w:t xml:space="preserve"> </w:t>
      </w:r>
      <w:r>
        <w:rPr>
          <w:sz w:val="28"/>
          <w:szCs w:val="28"/>
        </w:rPr>
        <w:t>December 2019, and therefore is deemed to have abandoned the benefits of that Judgment or order pursuant to Order 46 Rule 10 of The HCR, 2007</w:t>
      </w:r>
      <w:r w:rsidR="006B57A6">
        <w:rPr>
          <w:sz w:val="28"/>
          <w:szCs w:val="28"/>
        </w:rPr>
        <w:t>.</w:t>
      </w:r>
      <w:r>
        <w:rPr>
          <w:sz w:val="28"/>
          <w:szCs w:val="28"/>
        </w:rPr>
        <w:t xml:space="preserve"> Attached is a copy of the said Judgment marked Exhibit SMK1.</w:t>
      </w:r>
      <w:r w:rsidR="00EA2E81" w:rsidRPr="00BA3D9D">
        <w:rPr>
          <w:b/>
          <w:bCs/>
          <w:sz w:val="28"/>
          <w:szCs w:val="28"/>
          <w:u w:val="single"/>
        </w:rPr>
        <w:t xml:space="preserve"> </w:t>
      </w:r>
    </w:p>
    <w:p w14:paraId="7F715A75" w14:textId="77777777" w:rsidR="00BA3D9D" w:rsidRPr="00BA3D9D" w:rsidRDefault="00BA3D9D" w:rsidP="00BA3D9D">
      <w:pPr>
        <w:pStyle w:val="ListParagraph"/>
        <w:numPr>
          <w:ilvl w:val="0"/>
          <w:numId w:val="2"/>
        </w:numPr>
        <w:jc w:val="both"/>
        <w:rPr>
          <w:b/>
          <w:bCs/>
          <w:sz w:val="28"/>
          <w:szCs w:val="28"/>
          <w:u w:val="single"/>
        </w:rPr>
      </w:pPr>
      <w:r>
        <w:rPr>
          <w:sz w:val="28"/>
          <w:szCs w:val="28"/>
        </w:rPr>
        <w:t>That the Appellant did not serve on the Respondent the filed Notice of Appeal within seven (7) days of that order.</w:t>
      </w:r>
    </w:p>
    <w:p w14:paraId="67DFF641" w14:textId="481DB737" w:rsidR="008B1E01" w:rsidRPr="0032087D" w:rsidRDefault="00673447" w:rsidP="00BA3D9D">
      <w:pPr>
        <w:pStyle w:val="ListParagraph"/>
        <w:numPr>
          <w:ilvl w:val="0"/>
          <w:numId w:val="2"/>
        </w:numPr>
        <w:jc w:val="both"/>
        <w:rPr>
          <w:b/>
          <w:bCs/>
          <w:sz w:val="28"/>
          <w:szCs w:val="28"/>
          <w:u w:val="single"/>
        </w:rPr>
      </w:pPr>
      <w:r>
        <w:rPr>
          <w:sz w:val="28"/>
          <w:szCs w:val="28"/>
        </w:rPr>
        <w:t>That the Appellant did not exhibit in his Notice of Appeal dated the 13</w:t>
      </w:r>
      <w:r w:rsidRPr="00673447">
        <w:rPr>
          <w:sz w:val="28"/>
          <w:szCs w:val="28"/>
          <w:vertAlign w:val="superscript"/>
        </w:rPr>
        <w:t>th</w:t>
      </w:r>
      <w:r>
        <w:rPr>
          <w:sz w:val="28"/>
          <w:szCs w:val="28"/>
        </w:rPr>
        <w:t xml:space="preserve"> December 2019 any evidence of deposits into the Judicial Sub-Treasury as security for costs of the appeal, same which should have been done within seven (7) days of the orders of the Learned Hon. Mr. Justi</w:t>
      </w:r>
      <w:r w:rsidR="00024A36">
        <w:rPr>
          <w:sz w:val="28"/>
          <w:szCs w:val="28"/>
        </w:rPr>
        <w:t xml:space="preserve">ce </w:t>
      </w:r>
      <w:r>
        <w:rPr>
          <w:sz w:val="28"/>
          <w:szCs w:val="28"/>
        </w:rPr>
        <w:t>A. K. Musa J. dated 10</w:t>
      </w:r>
      <w:r w:rsidRPr="00673447">
        <w:rPr>
          <w:sz w:val="28"/>
          <w:szCs w:val="28"/>
          <w:vertAlign w:val="superscript"/>
        </w:rPr>
        <w:t>th</w:t>
      </w:r>
      <w:r>
        <w:rPr>
          <w:sz w:val="28"/>
          <w:szCs w:val="28"/>
        </w:rPr>
        <w:t xml:space="preserve"> December</w:t>
      </w:r>
      <w:r w:rsidR="00C543BB">
        <w:rPr>
          <w:sz w:val="28"/>
          <w:szCs w:val="28"/>
        </w:rPr>
        <w:t xml:space="preserve"> </w:t>
      </w:r>
      <w:r>
        <w:rPr>
          <w:sz w:val="28"/>
          <w:szCs w:val="28"/>
        </w:rPr>
        <w:t>2019.</w:t>
      </w:r>
    </w:p>
    <w:p w14:paraId="3112E46C" w14:textId="0BD018F5" w:rsidR="008A7765" w:rsidRDefault="0032087D" w:rsidP="0032087D">
      <w:pPr>
        <w:jc w:val="both"/>
        <w:rPr>
          <w:sz w:val="28"/>
          <w:szCs w:val="28"/>
        </w:rPr>
      </w:pPr>
      <w:r>
        <w:rPr>
          <w:sz w:val="28"/>
          <w:szCs w:val="28"/>
        </w:rPr>
        <w:t xml:space="preserve">Contrariwise, I.B.D. John Esq. filed an affidavit, repudiating the foregoing grounds, upon which the preliminary objection </w:t>
      </w:r>
      <w:r w:rsidR="002A3F0A">
        <w:rPr>
          <w:sz w:val="28"/>
          <w:szCs w:val="28"/>
        </w:rPr>
        <w:t>is</w:t>
      </w:r>
      <w:r>
        <w:rPr>
          <w:sz w:val="28"/>
          <w:szCs w:val="28"/>
        </w:rPr>
        <w:t xml:space="preserve"> predicated. Paragraph </w:t>
      </w:r>
      <w:r w:rsidR="00A73423">
        <w:rPr>
          <w:sz w:val="28"/>
          <w:szCs w:val="28"/>
        </w:rPr>
        <w:t>4</w:t>
      </w:r>
      <w:r>
        <w:rPr>
          <w:sz w:val="28"/>
          <w:szCs w:val="28"/>
        </w:rPr>
        <w:t xml:space="preserve"> of the said affidavit</w:t>
      </w:r>
      <w:r w:rsidR="00A73423">
        <w:rPr>
          <w:sz w:val="28"/>
          <w:szCs w:val="28"/>
        </w:rPr>
        <w:t>,</w:t>
      </w:r>
      <w:r>
        <w:rPr>
          <w:sz w:val="28"/>
          <w:szCs w:val="28"/>
        </w:rPr>
        <w:t xml:space="preserve"> denie</w:t>
      </w:r>
      <w:r w:rsidR="00BA3061">
        <w:rPr>
          <w:sz w:val="28"/>
          <w:szCs w:val="28"/>
        </w:rPr>
        <w:t>s</w:t>
      </w:r>
      <w:r>
        <w:rPr>
          <w:sz w:val="28"/>
          <w:szCs w:val="28"/>
        </w:rPr>
        <w:t xml:space="preserve"> the first objection that the Appellant has not complied with the conditions</w:t>
      </w:r>
      <w:r w:rsidR="00A73423">
        <w:rPr>
          <w:sz w:val="28"/>
          <w:szCs w:val="28"/>
        </w:rPr>
        <w:t xml:space="preserve"> of the Judgment of the Learned</w:t>
      </w:r>
      <w:r w:rsidR="002A3F0A">
        <w:rPr>
          <w:sz w:val="28"/>
          <w:szCs w:val="28"/>
        </w:rPr>
        <w:t xml:space="preserve"> Hon.</w:t>
      </w:r>
      <w:r w:rsidR="00A73423">
        <w:rPr>
          <w:sz w:val="28"/>
          <w:szCs w:val="28"/>
        </w:rPr>
        <w:t xml:space="preserve"> Mr. Justice A.K. Musa, J., dated 10</w:t>
      </w:r>
      <w:r w:rsidR="00A73423" w:rsidRPr="00A73423">
        <w:rPr>
          <w:sz w:val="28"/>
          <w:szCs w:val="28"/>
          <w:vertAlign w:val="superscript"/>
        </w:rPr>
        <w:t>th</w:t>
      </w:r>
      <w:r w:rsidR="00A73423">
        <w:rPr>
          <w:sz w:val="28"/>
          <w:szCs w:val="28"/>
        </w:rPr>
        <w:t xml:space="preserve"> December 2019. Paragraph 5 recount</w:t>
      </w:r>
      <w:r w:rsidR="00BA3061">
        <w:rPr>
          <w:sz w:val="28"/>
          <w:szCs w:val="28"/>
        </w:rPr>
        <w:t>s</w:t>
      </w:r>
      <w:r w:rsidR="00A73423">
        <w:rPr>
          <w:sz w:val="28"/>
          <w:szCs w:val="28"/>
        </w:rPr>
        <w:t xml:space="preserve"> the processes, pursuant to which the said </w:t>
      </w:r>
      <w:r w:rsidR="00BA3061">
        <w:rPr>
          <w:sz w:val="28"/>
          <w:szCs w:val="28"/>
        </w:rPr>
        <w:t>J</w:t>
      </w:r>
      <w:r w:rsidR="00A73423">
        <w:rPr>
          <w:sz w:val="28"/>
          <w:szCs w:val="28"/>
        </w:rPr>
        <w:t>udgment was obtained; and how it culminated in the leave which was granted to the Appellant</w:t>
      </w:r>
      <w:r w:rsidR="007E2DC8">
        <w:rPr>
          <w:sz w:val="28"/>
          <w:szCs w:val="28"/>
        </w:rPr>
        <w:t xml:space="preserve">, </w:t>
      </w:r>
      <w:r w:rsidR="00FF328D">
        <w:rPr>
          <w:sz w:val="28"/>
          <w:szCs w:val="28"/>
        </w:rPr>
        <w:t>to file</w:t>
      </w:r>
      <w:r w:rsidR="007E2DC8">
        <w:rPr>
          <w:sz w:val="28"/>
          <w:szCs w:val="28"/>
        </w:rPr>
        <w:t xml:space="preserve"> his appeal (within seven days) out of time and how the stay of </w:t>
      </w:r>
      <w:r w:rsidR="007E2DC8">
        <w:rPr>
          <w:sz w:val="28"/>
          <w:szCs w:val="28"/>
        </w:rPr>
        <w:lastRenderedPageBreak/>
        <w:t>execution of the Judgment of Magistrate Ladonnet Macauley, dated 11</w:t>
      </w:r>
      <w:r w:rsidR="007E2DC8" w:rsidRPr="007E2DC8">
        <w:rPr>
          <w:sz w:val="28"/>
          <w:szCs w:val="28"/>
          <w:vertAlign w:val="superscript"/>
        </w:rPr>
        <w:t>th</w:t>
      </w:r>
      <w:r w:rsidR="007E2DC8">
        <w:rPr>
          <w:sz w:val="28"/>
          <w:szCs w:val="28"/>
        </w:rPr>
        <w:t xml:space="preserve"> July 2019, was obtained. </w:t>
      </w:r>
      <w:r w:rsidR="00FF328D">
        <w:rPr>
          <w:sz w:val="28"/>
          <w:szCs w:val="28"/>
        </w:rPr>
        <w:t xml:space="preserve">Paragraph </w:t>
      </w:r>
      <w:r w:rsidR="00CC078A">
        <w:rPr>
          <w:sz w:val="28"/>
          <w:szCs w:val="28"/>
        </w:rPr>
        <w:t>7 articulat</w:t>
      </w:r>
      <w:r w:rsidR="00BA3061">
        <w:rPr>
          <w:sz w:val="28"/>
          <w:szCs w:val="28"/>
        </w:rPr>
        <w:t>es</w:t>
      </w:r>
      <w:r w:rsidR="00FF328D">
        <w:rPr>
          <w:sz w:val="28"/>
          <w:szCs w:val="28"/>
        </w:rPr>
        <w:t xml:space="preserve"> the point that the Notice of Appeal, which is the basis of this present matter, before this Honourable Court, was lodged in the Registry of the Appellate Division of the High Court of Justice, on the 13</w:t>
      </w:r>
      <w:r w:rsidR="00FF328D" w:rsidRPr="00FF328D">
        <w:rPr>
          <w:sz w:val="28"/>
          <w:szCs w:val="28"/>
          <w:vertAlign w:val="superscript"/>
        </w:rPr>
        <w:t>th</w:t>
      </w:r>
      <w:r w:rsidR="00FF328D">
        <w:rPr>
          <w:sz w:val="28"/>
          <w:szCs w:val="28"/>
        </w:rPr>
        <w:t xml:space="preserve"> December, 2019. </w:t>
      </w:r>
      <w:r w:rsidR="00CC078A">
        <w:rPr>
          <w:sz w:val="28"/>
          <w:szCs w:val="28"/>
        </w:rPr>
        <w:t>Paragraph 8 state</w:t>
      </w:r>
      <w:r w:rsidR="00BA3061">
        <w:rPr>
          <w:sz w:val="28"/>
          <w:szCs w:val="28"/>
        </w:rPr>
        <w:t>s</w:t>
      </w:r>
      <w:r w:rsidR="00CC078A">
        <w:rPr>
          <w:sz w:val="28"/>
          <w:szCs w:val="28"/>
        </w:rPr>
        <w:t xml:space="preserve"> that every effort was made to serve the Notice of Appeal on Counsel for the Respondent at his last known address of service, but it was evident that he was no longer doing business there. Paragraph 11 categorically denie</w:t>
      </w:r>
      <w:r w:rsidR="00BA3061">
        <w:rPr>
          <w:sz w:val="28"/>
          <w:szCs w:val="28"/>
        </w:rPr>
        <w:t>s</w:t>
      </w:r>
      <w:r w:rsidR="00CC078A">
        <w:rPr>
          <w:sz w:val="28"/>
          <w:szCs w:val="28"/>
        </w:rPr>
        <w:t xml:space="preserve"> the Third Ground of the objection; and state</w:t>
      </w:r>
      <w:r w:rsidR="00BA3061">
        <w:rPr>
          <w:sz w:val="28"/>
          <w:szCs w:val="28"/>
        </w:rPr>
        <w:t>s</w:t>
      </w:r>
      <w:r w:rsidR="00CC078A">
        <w:rPr>
          <w:sz w:val="28"/>
          <w:szCs w:val="28"/>
        </w:rPr>
        <w:t xml:space="preserve"> that the Judgment of the Learned</w:t>
      </w:r>
      <w:r w:rsidR="002A3F0A">
        <w:rPr>
          <w:sz w:val="28"/>
          <w:szCs w:val="28"/>
        </w:rPr>
        <w:t xml:space="preserve"> Hon.</w:t>
      </w:r>
      <w:r w:rsidR="00CC078A">
        <w:rPr>
          <w:sz w:val="28"/>
          <w:szCs w:val="28"/>
        </w:rPr>
        <w:t xml:space="preserve"> Mr. Justice A. K. Musa, does not say anything that the evidence of payment of the security for cost shall be exhi</w:t>
      </w:r>
      <w:r w:rsidR="008A7765">
        <w:rPr>
          <w:sz w:val="28"/>
          <w:szCs w:val="28"/>
        </w:rPr>
        <w:t>bi</w:t>
      </w:r>
      <w:r w:rsidR="00CC078A">
        <w:rPr>
          <w:sz w:val="28"/>
          <w:szCs w:val="28"/>
        </w:rPr>
        <w:t>ted.</w:t>
      </w:r>
    </w:p>
    <w:p w14:paraId="547D9760" w14:textId="64569178" w:rsidR="008A7765" w:rsidRDefault="008A7765" w:rsidP="0032087D">
      <w:pPr>
        <w:jc w:val="both"/>
        <w:rPr>
          <w:sz w:val="28"/>
          <w:szCs w:val="28"/>
        </w:rPr>
      </w:pPr>
      <w:r>
        <w:rPr>
          <w:sz w:val="28"/>
          <w:szCs w:val="28"/>
        </w:rPr>
        <w:t>Nonetheless, Samuel Momodu</w:t>
      </w:r>
      <w:r w:rsidR="00BA2FB8">
        <w:rPr>
          <w:sz w:val="28"/>
          <w:szCs w:val="28"/>
        </w:rPr>
        <w:t xml:space="preserve"> Konteh Esq. swore to and filed an affidavit in reply, dated 16</w:t>
      </w:r>
      <w:r w:rsidR="00BA2FB8" w:rsidRPr="00BA2FB8">
        <w:rPr>
          <w:sz w:val="28"/>
          <w:szCs w:val="28"/>
          <w:vertAlign w:val="superscript"/>
        </w:rPr>
        <w:t>th</w:t>
      </w:r>
      <w:r w:rsidR="00BA2FB8">
        <w:rPr>
          <w:sz w:val="28"/>
          <w:szCs w:val="28"/>
        </w:rPr>
        <w:t xml:space="preserve"> December 2020, responding to the contents of the aforementioned affidavit in opposition</w:t>
      </w:r>
      <w:r w:rsidR="00CE4A5E">
        <w:rPr>
          <w:sz w:val="28"/>
          <w:szCs w:val="28"/>
        </w:rPr>
        <w:t>. Paragraph 2 of the s</w:t>
      </w:r>
      <w:r w:rsidR="00477BA6">
        <w:rPr>
          <w:sz w:val="28"/>
          <w:szCs w:val="28"/>
        </w:rPr>
        <w:t>aid</w:t>
      </w:r>
      <w:r w:rsidR="00CE4A5E">
        <w:rPr>
          <w:sz w:val="28"/>
          <w:szCs w:val="28"/>
        </w:rPr>
        <w:t xml:space="preserve"> affidavit </w:t>
      </w:r>
      <w:r w:rsidR="006D552D">
        <w:rPr>
          <w:sz w:val="28"/>
          <w:szCs w:val="28"/>
        </w:rPr>
        <w:t>(</w:t>
      </w:r>
      <w:r w:rsidR="00CE4A5E">
        <w:rPr>
          <w:sz w:val="28"/>
          <w:szCs w:val="28"/>
        </w:rPr>
        <w:t>in reply</w:t>
      </w:r>
      <w:r w:rsidR="006D552D">
        <w:rPr>
          <w:sz w:val="28"/>
          <w:szCs w:val="28"/>
        </w:rPr>
        <w:t>)</w:t>
      </w:r>
      <w:r w:rsidR="00CE4A5E">
        <w:rPr>
          <w:sz w:val="28"/>
          <w:szCs w:val="28"/>
        </w:rPr>
        <w:t>, state</w:t>
      </w:r>
      <w:r w:rsidR="00477BA6">
        <w:rPr>
          <w:sz w:val="28"/>
          <w:szCs w:val="28"/>
        </w:rPr>
        <w:t xml:space="preserve">s </w:t>
      </w:r>
      <w:r w:rsidR="00CE4A5E">
        <w:rPr>
          <w:sz w:val="28"/>
          <w:szCs w:val="28"/>
        </w:rPr>
        <w:t>that it is not in contention</w:t>
      </w:r>
      <w:r w:rsidR="006D552D">
        <w:rPr>
          <w:sz w:val="28"/>
          <w:szCs w:val="28"/>
        </w:rPr>
        <w:t xml:space="preserve"> that the Appellant did not file the Notice of Appeal within the time</w:t>
      </w:r>
      <w:r w:rsidR="00116B7D">
        <w:rPr>
          <w:sz w:val="28"/>
          <w:szCs w:val="28"/>
        </w:rPr>
        <w:t>,</w:t>
      </w:r>
      <w:r w:rsidR="006D552D">
        <w:rPr>
          <w:sz w:val="28"/>
          <w:szCs w:val="28"/>
        </w:rPr>
        <w:t xml:space="preserve"> conditionally imposed </w:t>
      </w:r>
      <w:r w:rsidR="000721D3">
        <w:rPr>
          <w:sz w:val="28"/>
          <w:szCs w:val="28"/>
        </w:rPr>
        <w:t>by the Judgment of the Learned</w:t>
      </w:r>
      <w:r w:rsidR="002A3F0A">
        <w:rPr>
          <w:sz w:val="28"/>
          <w:szCs w:val="28"/>
        </w:rPr>
        <w:t xml:space="preserve"> Hon.</w:t>
      </w:r>
      <w:r w:rsidR="000721D3">
        <w:rPr>
          <w:sz w:val="28"/>
          <w:szCs w:val="28"/>
        </w:rPr>
        <w:t xml:space="preserve"> Mr. Justice A.K. Musa, J. Paragraph 3 emphasize</w:t>
      </w:r>
      <w:r w:rsidR="00477BA6">
        <w:rPr>
          <w:sz w:val="28"/>
          <w:szCs w:val="28"/>
        </w:rPr>
        <w:t>s</w:t>
      </w:r>
      <w:r w:rsidR="000721D3">
        <w:rPr>
          <w:sz w:val="28"/>
          <w:szCs w:val="28"/>
        </w:rPr>
        <w:t xml:space="preserve"> the point that the Appellant did not serve on the Respondent the filed Notice of Appeal within seven (7) days of that order and that it was on the 20</w:t>
      </w:r>
      <w:r w:rsidR="000721D3" w:rsidRPr="000721D3">
        <w:rPr>
          <w:sz w:val="28"/>
          <w:szCs w:val="28"/>
          <w:vertAlign w:val="superscript"/>
        </w:rPr>
        <w:t>th</w:t>
      </w:r>
      <w:r w:rsidR="000721D3">
        <w:rPr>
          <w:sz w:val="28"/>
          <w:szCs w:val="28"/>
        </w:rPr>
        <w:t xml:space="preserve"> December, 2020 at exactly 10:40 o’clock in the forenoon that </w:t>
      </w:r>
      <w:r w:rsidR="00DC303D">
        <w:rPr>
          <w:sz w:val="28"/>
          <w:szCs w:val="28"/>
        </w:rPr>
        <w:t xml:space="preserve">Counsel </w:t>
      </w:r>
      <w:r w:rsidR="000721D3">
        <w:rPr>
          <w:sz w:val="28"/>
          <w:szCs w:val="28"/>
        </w:rPr>
        <w:t xml:space="preserve">attempted to abruptly serve the said process on him. Paragraph 5 </w:t>
      </w:r>
      <w:r w:rsidR="00477BA6">
        <w:rPr>
          <w:sz w:val="28"/>
          <w:szCs w:val="28"/>
        </w:rPr>
        <w:t xml:space="preserve">furthers </w:t>
      </w:r>
      <w:r w:rsidR="000721D3">
        <w:rPr>
          <w:sz w:val="28"/>
          <w:szCs w:val="28"/>
        </w:rPr>
        <w:t>that the Appellant did not exhibit in the Notice of Appeal, any evidence of deposits into the Judicial Sub-Treasury as security for costs of the appeal.</w:t>
      </w:r>
      <w:r w:rsidR="006069E5">
        <w:rPr>
          <w:sz w:val="28"/>
          <w:szCs w:val="28"/>
        </w:rPr>
        <w:t xml:space="preserve"> Paragraph 6 confirm</w:t>
      </w:r>
      <w:r w:rsidR="00477BA6">
        <w:rPr>
          <w:sz w:val="28"/>
          <w:szCs w:val="28"/>
        </w:rPr>
        <w:t xml:space="preserve">s </w:t>
      </w:r>
      <w:r w:rsidR="006069E5">
        <w:rPr>
          <w:sz w:val="28"/>
          <w:szCs w:val="28"/>
        </w:rPr>
        <w:t>that a letter was written to the National Revenue Authority (NRA) on the 11</w:t>
      </w:r>
      <w:r w:rsidR="006069E5" w:rsidRPr="006069E5">
        <w:rPr>
          <w:sz w:val="28"/>
          <w:szCs w:val="28"/>
          <w:vertAlign w:val="superscript"/>
        </w:rPr>
        <w:t>th</w:t>
      </w:r>
      <w:r w:rsidR="006069E5">
        <w:rPr>
          <w:sz w:val="28"/>
          <w:szCs w:val="28"/>
        </w:rPr>
        <w:t xml:space="preserve"> December 2020, and the search revealed that payments were accepted, but that the Court should summon an official of the NRA to come before it and attests to those facts.</w:t>
      </w:r>
    </w:p>
    <w:p w14:paraId="0F82EDA3" w14:textId="38101D0E" w:rsidR="006069E5" w:rsidRPr="006069E5" w:rsidRDefault="006069E5" w:rsidP="0032087D">
      <w:pPr>
        <w:jc w:val="both"/>
        <w:rPr>
          <w:b/>
          <w:bCs/>
          <w:sz w:val="28"/>
          <w:szCs w:val="28"/>
          <w:u w:val="single"/>
        </w:rPr>
      </w:pPr>
      <w:r w:rsidRPr="006069E5">
        <w:rPr>
          <w:b/>
          <w:bCs/>
          <w:sz w:val="28"/>
          <w:szCs w:val="28"/>
          <w:u w:val="single"/>
        </w:rPr>
        <w:t>1.3 The Analysis</w:t>
      </w:r>
      <w:r w:rsidR="00E854E6">
        <w:rPr>
          <w:b/>
          <w:bCs/>
          <w:sz w:val="28"/>
          <w:szCs w:val="28"/>
          <w:u w:val="single"/>
        </w:rPr>
        <w:t>.</w:t>
      </w:r>
    </w:p>
    <w:p w14:paraId="72F7ED84" w14:textId="1B21F734" w:rsidR="004713BA" w:rsidRDefault="006E3BD3" w:rsidP="004713BA">
      <w:pPr>
        <w:pStyle w:val="FootnoteText"/>
        <w:jc w:val="both"/>
        <w:rPr>
          <w:sz w:val="28"/>
          <w:szCs w:val="28"/>
        </w:rPr>
      </w:pPr>
      <w:r>
        <w:rPr>
          <w:sz w:val="28"/>
          <w:szCs w:val="28"/>
        </w:rPr>
        <w:t>The jurisprudence on preliminary objection ha</w:t>
      </w:r>
      <w:r w:rsidR="00DC303D">
        <w:rPr>
          <w:sz w:val="28"/>
          <w:szCs w:val="28"/>
        </w:rPr>
        <w:t>s</w:t>
      </w:r>
      <w:r>
        <w:rPr>
          <w:sz w:val="28"/>
          <w:szCs w:val="28"/>
        </w:rPr>
        <w:t xml:space="preserve"> continued to evolve</w:t>
      </w:r>
      <w:r w:rsidR="00DC303D">
        <w:rPr>
          <w:sz w:val="28"/>
          <w:szCs w:val="28"/>
        </w:rPr>
        <w:t>,</w:t>
      </w:r>
      <w:r>
        <w:rPr>
          <w:sz w:val="28"/>
          <w:szCs w:val="28"/>
        </w:rPr>
        <w:t xml:space="preserve"> with a plethora of decided cases in Sierra Leone and the Commonwealth jurisdiction</w:t>
      </w:r>
      <w:r w:rsidR="00DC303D">
        <w:rPr>
          <w:sz w:val="28"/>
          <w:szCs w:val="28"/>
        </w:rPr>
        <w:t>. The cardinal principle, by which every preliminary objection is anchored, is distilled</w:t>
      </w:r>
      <w:r w:rsidR="00C74DC4">
        <w:rPr>
          <w:sz w:val="28"/>
          <w:szCs w:val="28"/>
        </w:rPr>
        <w:t xml:space="preserve"> </w:t>
      </w:r>
      <w:r w:rsidR="00DC303D">
        <w:rPr>
          <w:sz w:val="28"/>
          <w:szCs w:val="28"/>
        </w:rPr>
        <w:t>from the idea, that a preliminary objection must raise a point of law</w:t>
      </w:r>
      <w:r w:rsidR="001F1FE7">
        <w:rPr>
          <w:sz w:val="28"/>
          <w:szCs w:val="28"/>
        </w:rPr>
        <w:t>;</w:t>
      </w:r>
      <w:r w:rsidR="00DC303D">
        <w:rPr>
          <w:sz w:val="28"/>
          <w:szCs w:val="28"/>
        </w:rPr>
        <w:t xml:space="preserve"> if it is to be heard and determine</w:t>
      </w:r>
      <w:r w:rsidR="001F1FE7">
        <w:rPr>
          <w:sz w:val="28"/>
          <w:szCs w:val="28"/>
        </w:rPr>
        <w:t>d b</w:t>
      </w:r>
      <w:r w:rsidR="00DC303D">
        <w:rPr>
          <w:sz w:val="28"/>
          <w:szCs w:val="28"/>
        </w:rPr>
        <w:t xml:space="preserve">y </w:t>
      </w:r>
      <w:r w:rsidR="003871EE">
        <w:rPr>
          <w:sz w:val="28"/>
          <w:szCs w:val="28"/>
        </w:rPr>
        <w:t>a</w:t>
      </w:r>
      <w:r w:rsidR="00C2017D">
        <w:rPr>
          <w:sz w:val="28"/>
          <w:szCs w:val="28"/>
        </w:rPr>
        <w:t>ny</w:t>
      </w:r>
      <w:r w:rsidR="00DC303D">
        <w:rPr>
          <w:sz w:val="28"/>
          <w:szCs w:val="28"/>
        </w:rPr>
        <w:t xml:space="preserve"> court of competent jurisdiction</w:t>
      </w:r>
      <w:r w:rsidR="00493C08">
        <w:rPr>
          <w:sz w:val="28"/>
          <w:szCs w:val="28"/>
        </w:rPr>
        <w:t xml:space="preserve">. The following cases are clearly instructive on this </w:t>
      </w:r>
      <w:r w:rsidR="00B12AA4">
        <w:rPr>
          <w:sz w:val="28"/>
          <w:szCs w:val="28"/>
        </w:rPr>
        <w:t>point:</w:t>
      </w:r>
      <w:r w:rsidR="00B12AA4" w:rsidRPr="0087786A">
        <w:rPr>
          <w:sz w:val="28"/>
          <w:szCs w:val="28"/>
        </w:rPr>
        <w:t xml:space="preserve"> Taakor</w:t>
      </w:r>
      <w:r w:rsidR="0087786A" w:rsidRPr="0087786A">
        <w:rPr>
          <w:sz w:val="28"/>
          <w:szCs w:val="28"/>
        </w:rPr>
        <w:t xml:space="preserve"> Tropical Hardware Co. Ltd. </w:t>
      </w:r>
      <w:r w:rsidR="0087786A" w:rsidRPr="0087786A">
        <w:rPr>
          <w:b/>
          <w:bCs/>
          <w:sz w:val="28"/>
          <w:szCs w:val="28"/>
        </w:rPr>
        <w:t xml:space="preserve">v. </w:t>
      </w:r>
      <w:r w:rsidR="0087786A" w:rsidRPr="0087786A">
        <w:rPr>
          <w:sz w:val="28"/>
          <w:szCs w:val="28"/>
        </w:rPr>
        <w:t>The Republic of Sierra Leone (ECW1 CCJ/JUD/02/19 (2019) ECOWAS CJ1 (24</w:t>
      </w:r>
      <w:r w:rsidR="0087786A" w:rsidRPr="0087786A">
        <w:rPr>
          <w:sz w:val="28"/>
          <w:szCs w:val="28"/>
          <w:vertAlign w:val="superscript"/>
        </w:rPr>
        <w:t>TH</w:t>
      </w:r>
      <w:r w:rsidR="0087786A" w:rsidRPr="0087786A">
        <w:rPr>
          <w:sz w:val="28"/>
          <w:szCs w:val="28"/>
        </w:rPr>
        <w:t xml:space="preserve"> January, 2019); Zaria Amira Amina Mara </w:t>
      </w:r>
      <w:r w:rsidR="0087786A" w:rsidRPr="0087786A">
        <w:rPr>
          <w:b/>
          <w:bCs/>
          <w:sz w:val="28"/>
          <w:szCs w:val="28"/>
        </w:rPr>
        <w:t xml:space="preserve">v. </w:t>
      </w:r>
      <w:r w:rsidR="0087786A" w:rsidRPr="0087786A">
        <w:rPr>
          <w:sz w:val="28"/>
          <w:szCs w:val="28"/>
        </w:rPr>
        <w:t xml:space="preserve">Managing Director Standard Chartered Bank and </w:t>
      </w:r>
      <w:r w:rsidR="0087786A" w:rsidRPr="0087786A">
        <w:rPr>
          <w:sz w:val="28"/>
          <w:szCs w:val="28"/>
        </w:rPr>
        <w:lastRenderedPageBreak/>
        <w:t xml:space="preserve">Others (FTCC 237 of 2018) (2019) SLHC 47 (11 July 2019); Yaya </w:t>
      </w:r>
      <w:r w:rsidR="0087786A" w:rsidRPr="0087786A">
        <w:rPr>
          <w:b/>
          <w:bCs/>
          <w:sz w:val="28"/>
          <w:szCs w:val="28"/>
        </w:rPr>
        <w:t xml:space="preserve">v. </w:t>
      </w:r>
      <w:r w:rsidR="0087786A" w:rsidRPr="0087786A">
        <w:rPr>
          <w:sz w:val="28"/>
          <w:szCs w:val="28"/>
        </w:rPr>
        <w:t xml:space="preserve">Obur and Others (Civil Appeal 81 of 2010) (2020 UGHC 165 (30 October, 2020); Kassam Kousa </w:t>
      </w:r>
      <w:r w:rsidR="0087786A" w:rsidRPr="0087786A">
        <w:rPr>
          <w:b/>
          <w:bCs/>
          <w:sz w:val="28"/>
          <w:szCs w:val="28"/>
        </w:rPr>
        <w:t>v.</w:t>
      </w:r>
      <w:r w:rsidR="0087786A" w:rsidRPr="0087786A">
        <w:rPr>
          <w:sz w:val="28"/>
          <w:szCs w:val="28"/>
        </w:rPr>
        <w:t xml:space="preserve"> Alie Basma (CC:215/2019/C N0.31); Lovetta Bomah and Others </w:t>
      </w:r>
      <w:r w:rsidR="0087786A" w:rsidRPr="0087786A">
        <w:rPr>
          <w:b/>
          <w:bCs/>
          <w:sz w:val="28"/>
          <w:szCs w:val="28"/>
        </w:rPr>
        <w:t xml:space="preserve">v. </w:t>
      </w:r>
      <w:r w:rsidR="0087786A" w:rsidRPr="0087786A">
        <w:rPr>
          <w:sz w:val="28"/>
          <w:szCs w:val="28"/>
        </w:rPr>
        <w:t xml:space="preserve">PMDC (cc306 of 2018) 2021 SLHCL PED 27 (16 March, 2021); S </w:t>
      </w:r>
      <w:r w:rsidR="0087786A" w:rsidRPr="0087786A">
        <w:rPr>
          <w:b/>
          <w:bCs/>
          <w:sz w:val="28"/>
          <w:szCs w:val="28"/>
        </w:rPr>
        <w:t xml:space="preserve">v. </w:t>
      </w:r>
      <w:r w:rsidR="0087786A" w:rsidRPr="0087786A">
        <w:rPr>
          <w:sz w:val="28"/>
          <w:szCs w:val="28"/>
        </w:rPr>
        <w:t xml:space="preserve">Joseph Saidu Mans. </w:t>
      </w:r>
      <w:r w:rsidR="002C4495">
        <w:rPr>
          <w:sz w:val="28"/>
          <w:szCs w:val="28"/>
        </w:rPr>
        <w:t>a</w:t>
      </w:r>
      <w:r w:rsidR="0087786A" w:rsidRPr="0087786A">
        <w:rPr>
          <w:sz w:val="28"/>
          <w:szCs w:val="28"/>
        </w:rPr>
        <w:t xml:space="preserve">nd Another (CC: 31 </w:t>
      </w:r>
      <w:r w:rsidR="00447F12">
        <w:rPr>
          <w:sz w:val="28"/>
          <w:szCs w:val="28"/>
        </w:rPr>
        <w:t>of</w:t>
      </w:r>
      <w:r w:rsidR="0087786A" w:rsidRPr="0087786A">
        <w:rPr>
          <w:sz w:val="28"/>
          <w:szCs w:val="28"/>
        </w:rPr>
        <w:t xml:space="preserve"> 2018 2021 SLHC LPED 27 (16 March, 2021).</w:t>
      </w:r>
      <w:r w:rsidR="0041753E">
        <w:rPr>
          <w:sz w:val="28"/>
          <w:szCs w:val="28"/>
        </w:rPr>
        <w:t xml:space="preserve"> In fact,</w:t>
      </w:r>
      <w:r w:rsidR="00DC303D">
        <w:rPr>
          <w:sz w:val="28"/>
          <w:szCs w:val="28"/>
        </w:rPr>
        <w:t xml:space="preserve"> a preliminary objection is not a preliminary </w:t>
      </w:r>
      <w:r w:rsidR="007145E4">
        <w:rPr>
          <w:sz w:val="28"/>
          <w:szCs w:val="28"/>
        </w:rPr>
        <w:t>objection, if</w:t>
      </w:r>
      <w:r w:rsidR="00DC303D">
        <w:rPr>
          <w:sz w:val="28"/>
          <w:szCs w:val="28"/>
        </w:rPr>
        <w:t xml:space="preserve"> it is based on facts, which evidential significance, can</w:t>
      </w:r>
      <w:r w:rsidR="0041753E">
        <w:rPr>
          <w:sz w:val="28"/>
          <w:szCs w:val="28"/>
        </w:rPr>
        <w:t xml:space="preserve"> obviously</w:t>
      </w:r>
      <w:r w:rsidR="00DC303D">
        <w:rPr>
          <w:sz w:val="28"/>
          <w:szCs w:val="28"/>
        </w:rPr>
        <w:t xml:space="preserve"> be </w:t>
      </w:r>
      <w:r w:rsidR="00190177">
        <w:rPr>
          <w:sz w:val="28"/>
          <w:szCs w:val="28"/>
        </w:rPr>
        <w:t>determined</w:t>
      </w:r>
      <w:r w:rsidR="00DC303D">
        <w:rPr>
          <w:sz w:val="28"/>
          <w:szCs w:val="28"/>
        </w:rPr>
        <w:t xml:space="preserve"> during the course of</w:t>
      </w:r>
      <w:r w:rsidR="00AF0CB7">
        <w:rPr>
          <w:sz w:val="28"/>
          <w:szCs w:val="28"/>
        </w:rPr>
        <w:t xml:space="preserve"> the proceedings</w:t>
      </w:r>
      <w:r w:rsidR="00DC303D">
        <w:rPr>
          <w:sz w:val="28"/>
          <w:szCs w:val="28"/>
        </w:rPr>
        <w:t>.</w:t>
      </w:r>
      <w:r>
        <w:rPr>
          <w:sz w:val="28"/>
          <w:szCs w:val="28"/>
        </w:rPr>
        <w:t xml:space="preserve"> </w:t>
      </w:r>
      <w:r w:rsidR="003871EE">
        <w:rPr>
          <w:sz w:val="28"/>
          <w:szCs w:val="28"/>
        </w:rPr>
        <w:t>Thus,</w:t>
      </w:r>
      <w:r w:rsidR="0041753E">
        <w:rPr>
          <w:sz w:val="28"/>
          <w:szCs w:val="28"/>
        </w:rPr>
        <w:t xml:space="preserve"> when heard,</w:t>
      </w:r>
      <w:r w:rsidR="003871EE">
        <w:rPr>
          <w:sz w:val="28"/>
          <w:szCs w:val="28"/>
        </w:rPr>
        <w:t xml:space="preserve"> a preliminary objection can either</w:t>
      </w:r>
      <w:r w:rsidR="0041753E">
        <w:rPr>
          <w:sz w:val="28"/>
          <w:szCs w:val="28"/>
        </w:rPr>
        <w:t xml:space="preserve"> be</w:t>
      </w:r>
      <w:r w:rsidR="003871EE">
        <w:rPr>
          <w:sz w:val="28"/>
          <w:szCs w:val="28"/>
        </w:rPr>
        <w:t xml:space="preserve"> disposed of immediately</w:t>
      </w:r>
      <w:r w:rsidR="0041753E">
        <w:rPr>
          <w:sz w:val="28"/>
          <w:szCs w:val="28"/>
        </w:rPr>
        <w:t>;</w:t>
      </w:r>
      <w:r w:rsidR="003871EE">
        <w:rPr>
          <w:sz w:val="28"/>
          <w:szCs w:val="28"/>
        </w:rPr>
        <w:t xml:space="preserve"> or its ruling </w:t>
      </w:r>
      <w:r w:rsidR="0041753E">
        <w:rPr>
          <w:sz w:val="28"/>
          <w:szCs w:val="28"/>
        </w:rPr>
        <w:t>may be</w:t>
      </w:r>
      <w:r w:rsidR="003871EE">
        <w:rPr>
          <w:sz w:val="28"/>
          <w:szCs w:val="28"/>
        </w:rPr>
        <w:t xml:space="preserve"> deferred</w:t>
      </w:r>
      <w:r w:rsidR="0041753E">
        <w:rPr>
          <w:sz w:val="28"/>
          <w:szCs w:val="28"/>
        </w:rPr>
        <w:t>,</w:t>
      </w:r>
      <w:r w:rsidR="003871EE">
        <w:rPr>
          <w:sz w:val="28"/>
          <w:szCs w:val="28"/>
        </w:rPr>
        <w:t xml:space="preserve"> in circumstances wherein its determination</w:t>
      </w:r>
      <w:r w:rsidR="00FC1EE4">
        <w:rPr>
          <w:sz w:val="28"/>
          <w:szCs w:val="28"/>
        </w:rPr>
        <w:t xml:space="preserve">, will undoubtedly impact the outcome of a matter </w:t>
      </w:r>
      <w:r w:rsidR="00FC1EE4" w:rsidRPr="00190177">
        <w:rPr>
          <w:sz w:val="28"/>
          <w:szCs w:val="28"/>
        </w:rPr>
        <w:t xml:space="preserve">{see Yaya </w:t>
      </w:r>
      <w:r w:rsidR="00FC1EE4" w:rsidRPr="00190177">
        <w:rPr>
          <w:b/>
          <w:bCs/>
          <w:sz w:val="28"/>
          <w:szCs w:val="28"/>
        </w:rPr>
        <w:t xml:space="preserve">v. </w:t>
      </w:r>
      <w:r w:rsidR="00FC1EE4" w:rsidRPr="00190177">
        <w:rPr>
          <w:sz w:val="28"/>
          <w:szCs w:val="28"/>
        </w:rPr>
        <w:t>Obur and Others (Civil Appeal 81 of 2010) (2020 UGHC 165 (30 October, 2020}.</w:t>
      </w:r>
      <w:r w:rsidR="00190177">
        <w:rPr>
          <w:sz w:val="28"/>
          <w:szCs w:val="28"/>
        </w:rPr>
        <w:t xml:space="preserve"> </w:t>
      </w:r>
      <w:r w:rsidR="00310129">
        <w:rPr>
          <w:sz w:val="28"/>
          <w:szCs w:val="28"/>
        </w:rPr>
        <w:t>However</w:t>
      </w:r>
      <w:r w:rsidR="00190177">
        <w:rPr>
          <w:sz w:val="28"/>
          <w:szCs w:val="28"/>
        </w:rPr>
        <w:t>, th</w:t>
      </w:r>
      <w:r w:rsidR="0041753E">
        <w:rPr>
          <w:sz w:val="28"/>
          <w:szCs w:val="28"/>
        </w:rPr>
        <w:t>e</w:t>
      </w:r>
      <w:r w:rsidR="00190177">
        <w:rPr>
          <w:sz w:val="28"/>
          <w:szCs w:val="28"/>
        </w:rPr>
        <w:t xml:space="preserve"> preliminary objection</w:t>
      </w:r>
      <w:r w:rsidR="00AF0CB7">
        <w:rPr>
          <w:sz w:val="28"/>
          <w:szCs w:val="28"/>
        </w:rPr>
        <w:t>,</w:t>
      </w:r>
      <w:r w:rsidR="0041753E">
        <w:rPr>
          <w:sz w:val="28"/>
          <w:szCs w:val="28"/>
        </w:rPr>
        <w:t xml:space="preserve"> on which this ruling is based,</w:t>
      </w:r>
      <w:r w:rsidR="00190177">
        <w:rPr>
          <w:sz w:val="28"/>
          <w:szCs w:val="28"/>
        </w:rPr>
        <w:t xml:space="preserve"> is bound to be</w:t>
      </w:r>
      <w:r w:rsidR="00AF0CB7">
        <w:rPr>
          <w:sz w:val="28"/>
          <w:szCs w:val="28"/>
        </w:rPr>
        <w:t xml:space="preserve"> heard, because it is clearly predicated on law (not on facts);</w:t>
      </w:r>
      <w:r w:rsidR="00FC1EE4" w:rsidRPr="00190177">
        <w:rPr>
          <w:sz w:val="28"/>
          <w:szCs w:val="28"/>
        </w:rPr>
        <w:t xml:space="preserve"> </w:t>
      </w:r>
      <w:r w:rsidR="00AF0CB7">
        <w:rPr>
          <w:sz w:val="28"/>
          <w:szCs w:val="28"/>
        </w:rPr>
        <w:t>and should be immediately determined, because the legal issues that characterize it, would have no impact on the outcome of this appeal, should it proceed to its logical conclusion.</w:t>
      </w:r>
      <w:r w:rsidR="00AF0CB7" w:rsidRPr="006823BB">
        <w:rPr>
          <w:sz w:val="28"/>
          <w:szCs w:val="28"/>
        </w:rPr>
        <w:t xml:space="preserve"> </w:t>
      </w:r>
    </w:p>
    <w:p w14:paraId="3DBD9D4E" w14:textId="2E487E0C" w:rsidR="004713BA" w:rsidRDefault="003871EE" w:rsidP="004713BA">
      <w:pPr>
        <w:pStyle w:val="FootnoteText"/>
        <w:jc w:val="both"/>
        <w:rPr>
          <w:sz w:val="28"/>
          <w:szCs w:val="28"/>
        </w:rPr>
      </w:pPr>
      <w:r w:rsidRPr="006823BB">
        <w:rPr>
          <w:sz w:val="28"/>
          <w:szCs w:val="28"/>
        </w:rPr>
        <w:t xml:space="preserve"> </w:t>
      </w:r>
      <w:r w:rsidR="006823BB">
        <w:rPr>
          <w:sz w:val="28"/>
          <w:szCs w:val="28"/>
        </w:rPr>
        <w:t>Thus,</w:t>
      </w:r>
      <w:r w:rsidR="00D960A7">
        <w:rPr>
          <w:sz w:val="28"/>
          <w:szCs w:val="28"/>
        </w:rPr>
        <w:t xml:space="preserve"> for ease of reference,</w:t>
      </w:r>
      <w:r w:rsidR="006823BB">
        <w:rPr>
          <w:sz w:val="28"/>
          <w:szCs w:val="28"/>
        </w:rPr>
        <w:t xml:space="preserve"> the provision as </w:t>
      </w:r>
      <w:r w:rsidR="00D960A7">
        <w:rPr>
          <w:sz w:val="28"/>
          <w:szCs w:val="28"/>
        </w:rPr>
        <w:t>referenced in</w:t>
      </w:r>
      <w:r w:rsidR="006823BB">
        <w:rPr>
          <w:sz w:val="28"/>
          <w:szCs w:val="28"/>
        </w:rPr>
        <w:t xml:space="preserve"> The HCR 2007, in justification </w:t>
      </w:r>
      <w:r w:rsidR="00D960A7">
        <w:rPr>
          <w:sz w:val="28"/>
          <w:szCs w:val="28"/>
        </w:rPr>
        <w:t>of</w:t>
      </w:r>
      <w:r w:rsidR="0079132F">
        <w:rPr>
          <w:sz w:val="28"/>
          <w:szCs w:val="28"/>
        </w:rPr>
        <w:t xml:space="preserve"> the</w:t>
      </w:r>
      <w:r w:rsidR="00D960A7">
        <w:rPr>
          <w:sz w:val="28"/>
          <w:szCs w:val="28"/>
        </w:rPr>
        <w:t xml:space="preserve"> ground</w:t>
      </w:r>
      <w:r w:rsidR="0079132F">
        <w:rPr>
          <w:sz w:val="28"/>
          <w:szCs w:val="28"/>
        </w:rPr>
        <w:t>s</w:t>
      </w:r>
      <w:r w:rsidR="00D960A7">
        <w:rPr>
          <w:sz w:val="28"/>
          <w:szCs w:val="28"/>
        </w:rPr>
        <w:t xml:space="preserve"> of the preliminary objection, is set out</w:t>
      </w:r>
      <w:r w:rsidR="0079132F">
        <w:rPr>
          <w:sz w:val="28"/>
          <w:szCs w:val="28"/>
        </w:rPr>
        <w:t xml:space="preserve"> above,</w:t>
      </w:r>
      <w:r w:rsidR="00D960A7">
        <w:rPr>
          <w:sz w:val="28"/>
          <w:szCs w:val="28"/>
        </w:rPr>
        <w:t xml:space="preserve"> under the rubric: ‘The Background to the Preliminary Objection’. Nonetheless,</w:t>
      </w:r>
      <w:r w:rsidR="0079132F">
        <w:rPr>
          <w:sz w:val="28"/>
          <w:szCs w:val="28"/>
        </w:rPr>
        <w:t xml:space="preserve"> in</w:t>
      </w:r>
      <w:r w:rsidR="00D960A7">
        <w:rPr>
          <w:sz w:val="28"/>
          <w:szCs w:val="28"/>
        </w:rPr>
        <w:t xml:space="preserve"> the foregoing paragraph, </w:t>
      </w:r>
      <w:r w:rsidR="0079132F">
        <w:rPr>
          <w:sz w:val="28"/>
          <w:szCs w:val="28"/>
        </w:rPr>
        <w:t xml:space="preserve">which merely replicates the first ground, it </w:t>
      </w:r>
      <w:r w:rsidR="00C42268">
        <w:rPr>
          <w:sz w:val="28"/>
          <w:szCs w:val="28"/>
        </w:rPr>
        <w:t>appears</w:t>
      </w:r>
      <w:r w:rsidR="0079132F">
        <w:rPr>
          <w:sz w:val="28"/>
          <w:szCs w:val="28"/>
        </w:rPr>
        <w:t xml:space="preserve"> that Counsel for</w:t>
      </w:r>
      <w:r w:rsidR="00927AE7">
        <w:rPr>
          <w:sz w:val="28"/>
          <w:szCs w:val="28"/>
        </w:rPr>
        <w:t xml:space="preserve"> the</w:t>
      </w:r>
      <w:r w:rsidR="0079132F">
        <w:rPr>
          <w:sz w:val="28"/>
          <w:szCs w:val="28"/>
        </w:rPr>
        <w:t xml:space="preserve"> </w:t>
      </w:r>
      <w:r w:rsidR="00C42268">
        <w:rPr>
          <w:sz w:val="28"/>
          <w:szCs w:val="28"/>
        </w:rPr>
        <w:t xml:space="preserve">Respondent/Applicant, is saying that counsel on the other side, has not complied with </w:t>
      </w:r>
      <w:r w:rsidR="00C42268" w:rsidRPr="00C42268">
        <w:rPr>
          <w:b/>
          <w:bCs/>
          <w:sz w:val="28"/>
          <w:szCs w:val="28"/>
          <w:u w:val="single"/>
        </w:rPr>
        <w:t>all</w:t>
      </w:r>
      <w:r w:rsidR="00C42268">
        <w:rPr>
          <w:sz w:val="28"/>
          <w:szCs w:val="28"/>
        </w:rPr>
        <w:t xml:space="preserve"> the conditions in Exhibit SMK 1, so the Notice of Appeal</w:t>
      </w:r>
      <w:r w:rsidR="00927AE7">
        <w:rPr>
          <w:sz w:val="28"/>
          <w:szCs w:val="28"/>
        </w:rPr>
        <w:t>, dated 13</w:t>
      </w:r>
      <w:r w:rsidR="00927AE7" w:rsidRPr="00927AE7">
        <w:rPr>
          <w:sz w:val="28"/>
          <w:szCs w:val="28"/>
          <w:vertAlign w:val="superscript"/>
        </w:rPr>
        <w:t>th</w:t>
      </w:r>
      <w:r w:rsidR="00927AE7">
        <w:rPr>
          <w:sz w:val="28"/>
          <w:szCs w:val="28"/>
        </w:rPr>
        <w:t xml:space="preserve"> December2019, should not be heard. This ground is considered unreasonable and unacceptabl</w:t>
      </w:r>
      <w:r w:rsidR="003C6789">
        <w:rPr>
          <w:sz w:val="28"/>
          <w:szCs w:val="28"/>
        </w:rPr>
        <w:t>e in the light of what</w:t>
      </w:r>
      <w:r w:rsidR="000626A3" w:rsidRPr="000626A3">
        <w:rPr>
          <w:sz w:val="28"/>
          <w:szCs w:val="28"/>
        </w:rPr>
        <w:t xml:space="preserve"> </w:t>
      </w:r>
      <w:r w:rsidR="00403882">
        <w:rPr>
          <w:sz w:val="28"/>
          <w:szCs w:val="28"/>
        </w:rPr>
        <w:t>the said Counsel</w:t>
      </w:r>
      <w:r w:rsidR="000626A3">
        <w:rPr>
          <w:sz w:val="28"/>
          <w:szCs w:val="28"/>
        </w:rPr>
        <w:t xml:space="preserve"> himself acknowledge</w:t>
      </w:r>
      <w:r w:rsidR="00403882">
        <w:rPr>
          <w:sz w:val="28"/>
          <w:szCs w:val="28"/>
        </w:rPr>
        <w:t>s</w:t>
      </w:r>
      <w:r w:rsidR="000626A3">
        <w:rPr>
          <w:sz w:val="28"/>
          <w:szCs w:val="28"/>
        </w:rPr>
        <w:t xml:space="preserve"> in a point</w:t>
      </w:r>
      <w:r w:rsidR="003C6789" w:rsidRPr="006823BB">
        <w:rPr>
          <w:sz w:val="28"/>
          <w:szCs w:val="28"/>
        </w:rPr>
        <w:t xml:space="preserve"> which </w:t>
      </w:r>
      <w:r w:rsidR="000626A3">
        <w:rPr>
          <w:sz w:val="28"/>
          <w:szCs w:val="28"/>
        </w:rPr>
        <w:t>he</w:t>
      </w:r>
      <w:r w:rsidR="003C6789" w:rsidRPr="006823BB">
        <w:rPr>
          <w:sz w:val="28"/>
          <w:szCs w:val="28"/>
        </w:rPr>
        <w:t xml:space="preserve"> m</w:t>
      </w:r>
      <w:r w:rsidR="00403882">
        <w:rPr>
          <w:sz w:val="28"/>
          <w:szCs w:val="28"/>
        </w:rPr>
        <w:t>akes</w:t>
      </w:r>
      <w:r w:rsidR="003C6789" w:rsidRPr="006823BB">
        <w:rPr>
          <w:sz w:val="28"/>
          <w:szCs w:val="28"/>
        </w:rPr>
        <w:t xml:space="preserve"> quite salient, in Paragraph 2 of the affidavit in reply </w:t>
      </w:r>
      <w:r w:rsidR="003C6789">
        <w:rPr>
          <w:sz w:val="28"/>
          <w:szCs w:val="28"/>
        </w:rPr>
        <w:t>(</w:t>
      </w:r>
      <w:r w:rsidR="003C6789" w:rsidRPr="006823BB">
        <w:rPr>
          <w:sz w:val="28"/>
          <w:szCs w:val="28"/>
        </w:rPr>
        <w:t>to the affidavit in opposition</w:t>
      </w:r>
      <w:r w:rsidR="003C6789">
        <w:rPr>
          <w:sz w:val="28"/>
          <w:szCs w:val="28"/>
        </w:rPr>
        <w:t>)</w:t>
      </w:r>
      <w:r w:rsidR="003C6789" w:rsidRPr="006823BB">
        <w:rPr>
          <w:sz w:val="28"/>
          <w:szCs w:val="28"/>
        </w:rPr>
        <w:t xml:space="preserve">, that it is not in contention that the Appellant did not file the Notice of Appeal within the time, conditionally imposed by the Judgment of the Learned Hon. Mr. Justice A.K. Musa, J. </w:t>
      </w:r>
      <w:r w:rsidR="003C6789" w:rsidRPr="00916831">
        <w:rPr>
          <w:sz w:val="28"/>
          <w:szCs w:val="28"/>
        </w:rPr>
        <w:t>T</w:t>
      </w:r>
      <w:r w:rsidR="000626A3" w:rsidRPr="00916831">
        <w:rPr>
          <w:sz w:val="28"/>
          <w:szCs w:val="28"/>
        </w:rPr>
        <w:t>hus</w:t>
      </w:r>
      <w:r w:rsidR="003C6789" w:rsidRPr="00916831">
        <w:rPr>
          <w:sz w:val="28"/>
          <w:szCs w:val="28"/>
        </w:rPr>
        <w:t>, it is clear from the content of Exhibit IDBJ1, that leave was granted for an extension of time to seven (7) days, from the date that the Hon. Mr. Justice A.K. Musa, J. made the said order, that the Ap</w:t>
      </w:r>
      <w:r w:rsidR="00403882">
        <w:rPr>
          <w:sz w:val="28"/>
          <w:szCs w:val="28"/>
        </w:rPr>
        <w:t xml:space="preserve">pellant </w:t>
      </w:r>
      <w:r w:rsidR="003C6789" w:rsidRPr="00916831">
        <w:rPr>
          <w:sz w:val="28"/>
          <w:szCs w:val="28"/>
        </w:rPr>
        <w:t>Respondent, shall file a Notice of Appeal to the Appellate Division of the High Court Registry.</w:t>
      </w:r>
    </w:p>
    <w:p w14:paraId="27B7D32A" w14:textId="77777777" w:rsidR="00CA24A9" w:rsidRDefault="003C6789" w:rsidP="004713BA">
      <w:pPr>
        <w:pStyle w:val="FootnoteText"/>
        <w:jc w:val="both"/>
        <w:rPr>
          <w:sz w:val="28"/>
          <w:szCs w:val="28"/>
        </w:rPr>
      </w:pPr>
      <w:r w:rsidRPr="00916831">
        <w:rPr>
          <w:sz w:val="28"/>
          <w:szCs w:val="28"/>
        </w:rPr>
        <w:t xml:space="preserve"> This was accordingly done and there is indeed no contention on this issue. However,</w:t>
      </w:r>
      <w:r w:rsidR="000626A3" w:rsidRPr="00916831">
        <w:rPr>
          <w:sz w:val="28"/>
          <w:szCs w:val="28"/>
        </w:rPr>
        <w:t xml:space="preserve"> if there is no contention on the fulfilment of this condition precedent, which is embedded in the order, why should Counsel for the Respondent</w:t>
      </w:r>
      <w:r w:rsidR="00CA24A9">
        <w:rPr>
          <w:sz w:val="28"/>
          <w:szCs w:val="28"/>
        </w:rPr>
        <w:t>/Applicant</w:t>
      </w:r>
      <w:r w:rsidR="000626A3" w:rsidRPr="00916831">
        <w:rPr>
          <w:sz w:val="28"/>
          <w:szCs w:val="28"/>
        </w:rPr>
        <w:t xml:space="preserve"> say </w:t>
      </w:r>
      <w:r w:rsidR="000626A3" w:rsidRPr="00916831">
        <w:rPr>
          <w:b/>
          <w:bCs/>
          <w:sz w:val="28"/>
          <w:szCs w:val="28"/>
          <w:u w:val="single"/>
        </w:rPr>
        <w:t>all</w:t>
      </w:r>
      <w:r w:rsidRPr="00916831">
        <w:rPr>
          <w:sz w:val="28"/>
          <w:szCs w:val="28"/>
        </w:rPr>
        <w:t xml:space="preserve"> </w:t>
      </w:r>
      <w:r w:rsidR="001A0B7C" w:rsidRPr="00916831">
        <w:rPr>
          <w:sz w:val="28"/>
          <w:szCs w:val="28"/>
        </w:rPr>
        <w:t>the conditions in the order were not complied with</w:t>
      </w:r>
      <w:r w:rsidR="00BB7F3F" w:rsidRPr="00916831">
        <w:rPr>
          <w:sz w:val="28"/>
          <w:szCs w:val="28"/>
        </w:rPr>
        <w:t>?</w:t>
      </w:r>
      <w:r w:rsidR="001A0B7C" w:rsidRPr="00916831">
        <w:rPr>
          <w:sz w:val="28"/>
          <w:szCs w:val="28"/>
        </w:rPr>
        <w:t xml:space="preserve"> What is the semantic value of the word </w:t>
      </w:r>
      <w:r w:rsidR="001A0B7C" w:rsidRPr="00916831">
        <w:rPr>
          <w:b/>
          <w:bCs/>
          <w:sz w:val="28"/>
          <w:szCs w:val="28"/>
          <w:u w:val="single"/>
        </w:rPr>
        <w:t>all</w:t>
      </w:r>
      <w:r w:rsidR="001A0B7C" w:rsidRPr="00916831">
        <w:rPr>
          <w:sz w:val="28"/>
          <w:szCs w:val="28"/>
        </w:rPr>
        <w:t>? Does fulfilling a condition precedent</w:t>
      </w:r>
      <w:r w:rsidR="006B2AC2" w:rsidRPr="00916831">
        <w:rPr>
          <w:sz w:val="28"/>
          <w:szCs w:val="28"/>
        </w:rPr>
        <w:t>,</w:t>
      </w:r>
      <w:r w:rsidR="00BB7F3F" w:rsidRPr="00916831">
        <w:rPr>
          <w:sz w:val="28"/>
          <w:szCs w:val="28"/>
        </w:rPr>
        <w:t xml:space="preserve"> of a court’s order</w:t>
      </w:r>
      <w:r w:rsidR="006B2AC2" w:rsidRPr="00916831">
        <w:rPr>
          <w:sz w:val="28"/>
          <w:szCs w:val="28"/>
        </w:rPr>
        <w:t xml:space="preserve"> not </w:t>
      </w:r>
      <w:r w:rsidR="006B2AC2" w:rsidRPr="00916831">
        <w:rPr>
          <w:sz w:val="28"/>
          <w:szCs w:val="28"/>
        </w:rPr>
        <w:lastRenderedPageBreak/>
        <w:t>amount to a partial compliance</w:t>
      </w:r>
      <w:r w:rsidR="00BB7F3F" w:rsidRPr="00916831">
        <w:rPr>
          <w:sz w:val="28"/>
          <w:szCs w:val="28"/>
        </w:rPr>
        <w:t xml:space="preserve"> of that order</w:t>
      </w:r>
      <w:r w:rsidR="006B2AC2" w:rsidRPr="00916831">
        <w:rPr>
          <w:sz w:val="28"/>
          <w:szCs w:val="28"/>
        </w:rPr>
        <w:t xml:space="preserve">? Does a partial compliance mount to a non-compliance at all? </w:t>
      </w:r>
    </w:p>
    <w:p w14:paraId="4B754591" w14:textId="63EDE21A" w:rsidR="004713BA" w:rsidRDefault="006B2AC2" w:rsidP="004713BA">
      <w:pPr>
        <w:pStyle w:val="FootnoteText"/>
        <w:jc w:val="both"/>
        <w:rPr>
          <w:sz w:val="28"/>
          <w:szCs w:val="28"/>
        </w:rPr>
      </w:pPr>
      <w:r w:rsidRPr="00916831">
        <w:rPr>
          <w:sz w:val="28"/>
          <w:szCs w:val="28"/>
        </w:rPr>
        <w:t xml:space="preserve">This Bench does not really think that the use of the word </w:t>
      </w:r>
      <w:r w:rsidRPr="00916831">
        <w:rPr>
          <w:b/>
          <w:bCs/>
          <w:sz w:val="28"/>
          <w:szCs w:val="28"/>
          <w:u w:val="single"/>
        </w:rPr>
        <w:t>all</w:t>
      </w:r>
      <w:r w:rsidRPr="00916831">
        <w:rPr>
          <w:sz w:val="28"/>
          <w:szCs w:val="28"/>
        </w:rPr>
        <w:t xml:space="preserve"> in this context is right; it rather obscures the clarity of what is intended.</w:t>
      </w:r>
      <w:r w:rsidR="002209AE" w:rsidRPr="00916831">
        <w:rPr>
          <w:sz w:val="28"/>
          <w:szCs w:val="28"/>
        </w:rPr>
        <w:t xml:space="preserve"> Thus, ideas are expressed by</w:t>
      </w:r>
      <w:r w:rsidRPr="00916831">
        <w:rPr>
          <w:sz w:val="28"/>
          <w:szCs w:val="28"/>
        </w:rPr>
        <w:t xml:space="preserve"> </w:t>
      </w:r>
      <w:r w:rsidR="002209AE" w:rsidRPr="00916831">
        <w:rPr>
          <w:sz w:val="28"/>
          <w:szCs w:val="28"/>
        </w:rPr>
        <w:t>w</w:t>
      </w:r>
      <w:r w:rsidRPr="00916831">
        <w:rPr>
          <w:sz w:val="28"/>
          <w:szCs w:val="28"/>
        </w:rPr>
        <w:t>ords</w:t>
      </w:r>
      <w:r w:rsidR="002209AE" w:rsidRPr="00916831">
        <w:rPr>
          <w:sz w:val="28"/>
          <w:szCs w:val="28"/>
        </w:rPr>
        <w:t xml:space="preserve"> as the tools of thought. Therefore,</w:t>
      </w:r>
      <w:r w:rsidRPr="00916831">
        <w:rPr>
          <w:sz w:val="28"/>
          <w:szCs w:val="28"/>
        </w:rPr>
        <w:t xml:space="preserve"> Counsel</w:t>
      </w:r>
      <w:r w:rsidR="002209AE" w:rsidRPr="00916831">
        <w:rPr>
          <w:sz w:val="28"/>
          <w:szCs w:val="28"/>
        </w:rPr>
        <w:t xml:space="preserve"> for the Respondent</w:t>
      </w:r>
      <w:r w:rsidR="000E06FA">
        <w:rPr>
          <w:sz w:val="28"/>
          <w:szCs w:val="28"/>
        </w:rPr>
        <w:t>/Applicant</w:t>
      </w:r>
      <w:r w:rsidR="002209AE" w:rsidRPr="00916831">
        <w:rPr>
          <w:sz w:val="28"/>
          <w:szCs w:val="28"/>
        </w:rPr>
        <w:t>,</w:t>
      </w:r>
      <w:r w:rsidRPr="00916831">
        <w:rPr>
          <w:sz w:val="28"/>
          <w:szCs w:val="28"/>
        </w:rPr>
        <w:t xml:space="preserve"> </w:t>
      </w:r>
      <w:r w:rsidR="002209AE" w:rsidRPr="00916831">
        <w:rPr>
          <w:sz w:val="28"/>
          <w:szCs w:val="28"/>
        </w:rPr>
        <w:t xml:space="preserve">should not therefore be </w:t>
      </w:r>
      <w:r w:rsidR="00447F12" w:rsidRPr="00916831">
        <w:rPr>
          <w:sz w:val="28"/>
          <w:szCs w:val="28"/>
        </w:rPr>
        <w:t>that</w:t>
      </w:r>
      <w:r w:rsidRPr="00916831">
        <w:rPr>
          <w:sz w:val="28"/>
          <w:szCs w:val="28"/>
        </w:rPr>
        <w:t xml:space="preserve"> loose with language</w:t>
      </w:r>
      <w:r w:rsidR="00447F12" w:rsidRPr="00916831">
        <w:rPr>
          <w:sz w:val="28"/>
          <w:szCs w:val="28"/>
        </w:rPr>
        <w:t xml:space="preserve"> in an application of this nature.</w:t>
      </w:r>
      <w:r w:rsidR="00BB7F3F" w:rsidRPr="00916831">
        <w:rPr>
          <w:sz w:val="28"/>
          <w:szCs w:val="28"/>
        </w:rPr>
        <w:t xml:space="preserve"> Further, the second ground of the objection that Counsel for the Appellant</w:t>
      </w:r>
      <w:r w:rsidR="00CA24A9">
        <w:rPr>
          <w:sz w:val="28"/>
          <w:szCs w:val="28"/>
        </w:rPr>
        <w:t>/Respondent</w:t>
      </w:r>
      <w:r w:rsidR="00BB7F3F" w:rsidRPr="00916831">
        <w:rPr>
          <w:sz w:val="28"/>
          <w:szCs w:val="28"/>
        </w:rPr>
        <w:t xml:space="preserve"> </w:t>
      </w:r>
      <w:r w:rsidR="00916831" w:rsidRPr="00916831">
        <w:rPr>
          <w:sz w:val="28"/>
          <w:szCs w:val="28"/>
        </w:rPr>
        <w:t>did not serve the filed Notice of Appeal within seven (7) days of that order</w:t>
      </w:r>
      <w:r w:rsidR="00916831">
        <w:rPr>
          <w:sz w:val="28"/>
          <w:szCs w:val="28"/>
        </w:rPr>
        <w:t>, appears very contentious in the circumstance.</w:t>
      </w:r>
      <w:r w:rsidR="004713BA">
        <w:rPr>
          <w:sz w:val="28"/>
          <w:szCs w:val="28"/>
        </w:rPr>
        <w:t xml:space="preserve"> </w:t>
      </w:r>
      <w:r w:rsidR="00916831">
        <w:rPr>
          <w:sz w:val="28"/>
          <w:szCs w:val="28"/>
        </w:rPr>
        <w:t>First,</w:t>
      </w:r>
      <w:r w:rsidR="00297CE3" w:rsidRPr="00297CE3">
        <w:rPr>
          <w:sz w:val="28"/>
          <w:szCs w:val="28"/>
        </w:rPr>
        <w:t xml:space="preserve"> </w:t>
      </w:r>
      <w:r w:rsidR="00297CE3">
        <w:rPr>
          <w:sz w:val="28"/>
          <w:szCs w:val="28"/>
        </w:rPr>
        <w:t>Paragraph 8 of the affidavit of Counsel for the Appellant</w:t>
      </w:r>
      <w:r w:rsidR="00403882">
        <w:rPr>
          <w:sz w:val="28"/>
          <w:szCs w:val="28"/>
        </w:rPr>
        <w:t>/Respondent</w:t>
      </w:r>
      <w:r w:rsidR="00297CE3">
        <w:rPr>
          <w:sz w:val="28"/>
          <w:szCs w:val="28"/>
        </w:rPr>
        <w:t xml:space="preserve"> states that every effort was made to serve the Notice of Appeal on Counsel for the Respondent</w:t>
      </w:r>
      <w:r w:rsidR="000E06FA">
        <w:rPr>
          <w:sz w:val="28"/>
          <w:szCs w:val="28"/>
        </w:rPr>
        <w:t>/Applicant</w:t>
      </w:r>
      <w:r w:rsidR="00297CE3">
        <w:rPr>
          <w:sz w:val="28"/>
          <w:szCs w:val="28"/>
        </w:rPr>
        <w:t xml:space="preserve"> at his last known address of service, but it was evident that he was no longer doing business there.</w:t>
      </w:r>
      <w:r w:rsidR="004713BA">
        <w:rPr>
          <w:sz w:val="28"/>
          <w:szCs w:val="28"/>
        </w:rPr>
        <w:t xml:space="preserve"> </w:t>
      </w:r>
      <w:r w:rsidR="00297CE3">
        <w:rPr>
          <w:sz w:val="28"/>
          <w:szCs w:val="28"/>
        </w:rPr>
        <w:t xml:space="preserve">Secondly, the two succeeding paragraphs to paragraph </w:t>
      </w:r>
      <w:r w:rsidR="007B3BA9">
        <w:rPr>
          <w:sz w:val="28"/>
          <w:szCs w:val="28"/>
        </w:rPr>
        <w:t xml:space="preserve">8 demonstrate that every effort was made to serve the </w:t>
      </w:r>
      <w:r w:rsidR="000E06FA">
        <w:rPr>
          <w:sz w:val="28"/>
          <w:szCs w:val="28"/>
        </w:rPr>
        <w:t>N</w:t>
      </w:r>
      <w:r w:rsidR="007B3BA9">
        <w:rPr>
          <w:sz w:val="28"/>
          <w:szCs w:val="28"/>
        </w:rPr>
        <w:t xml:space="preserve">otice of </w:t>
      </w:r>
      <w:r w:rsidR="000E06FA">
        <w:rPr>
          <w:sz w:val="28"/>
          <w:szCs w:val="28"/>
        </w:rPr>
        <w:t>A</w:t>
      </w:r>
      <w:r w:rsidR="007B3BA9">
        <w:rPr>
          <w:sz w:val="28"/>
          <w:szCs w:val="28"/>
        </w:rPr>
        <w:t>ppeal on Counsel for the Respondent</w:t>
      </w:r>
      <w:r w:rsidR="000E06FA">
        <w:rPr>
          <w:sz w:val="28"/>
          <w:szCs w:val="28"/>
        </w:rPr>
        <w:t>/Applicant</w:t>
      </w:r>
      <w:r w:rsidR="007B3BA9">
        <w:rPr>
          <w:sz w:val="28"/>
          <w:szCs w:val="28"/>
        </w:rPr>
        <w:t>, before he was seen at the Pademba Road Magistrate’s Court, where he was eventually served.</w:t>
      </w:r>
    </w:p>
    <w:p w14:paraId="4AC74ED7" w14:textId="39DA8D0F" w:rsidR="004713BA" w:rsidRDefault="007B3BA9" w:rsidP="00297CE3">
      <w:pPr>
        <w:jc w:val="both"/>
        <w:rPr>
          <w:sz w:val="28"/>
          <w:szCs w:val="28"/>
        </w:rPr>
      </w:pPr>
      <w:r>
        <w:rPr>
          <w:sz w:val="28"/>
          <w:szCs w:val="28"/>
        </w:rPr>
        <w:t xml:space="preserve"> Thirdly, Counsel for the Respondent</w:t>
      </w:r>
      <w:r w:rsidR="00403882">
        <w:rPr>
          <w:sz w:val="28"/>
          <w:szCs w:val="28"/>
        </w:rPr>
        <w:t>/Applicant</w:t>
      </w:r>
      <w:r>
        <w:rPr>
          <w:sz w:val="28"/>
          <w:szCs w:val="28"/>
        </w:rPr>
        <w:t xml:space="preserve"> </w:t>
      </w:r>
      <w:r w:rsidR="00E80A27">
        <w:rPr>
          <w:sz w:val="28"/>
          <w:szCs w:val="28"/>
        </w:rPr>
        <w:t>debunks</w:t>
      </w:r>
      <w:r>
        <w:rPr>
          <w:sz w:val="28"/>
          <w:szCs w:val="28"/>
        </w:rPr>
        <w:t xml:space="preserve"> most of these facts in his affidavit in reply to the affidavit in opposition, saying that he was forced to accept service in the </w:t>
      </w:r>
      <w:r w:rsidR="00CD68D1">
        <w:rPr>
          <w:sz w:val="28"/>
          <w:szCs w:val="28"/>
        </w:rPr>
        <w:t>precincts of a court of competent jurisdiction, when the law does not permit that.</w:t>
      </w:r>
      <w:r w:rsidR="004713BA">
        <w:rPr>
          <w:sz w:val="28"/>
          <w:szCs w:val="28"/>
        </w:rPr>
        <w:t xml:space="preserve"> </w:t>
      </w:r>
      <w:r w:rsidR="00CD68D1">
        <w:rPr>
          <w:sz w:val="28"/>
          <w:szCs w:val="28"/>
        </w:rPr>
        <w:t>Thus, the law does not in any way sanction that court processes, regarding criminal and/or civil proceedings are to be served in the precincts of any court. That is trite l</w:t>
      </w:r>
      <w:r w:rsidR="0078235A">
        <w:rPr>
          <w:sz w:val="28"/>
          <w:szCs w:val="28"/>
        </w:rPr>
        <w:t xml:space="preserve">aw. However, in practice, out of courtesy and deference for colleagues in the legal profession, couple with the fact that practitioners are always constraints </w:t>
      </w:r>
      <w:r w:rsidR="00AF7667">
        <w:rPr>
          <w:sz w:val="28"/>
          <w:szCs w:val="28"/>
        </w:rPr>
        <w:t>by</w:t>
      </w:r>
      <w:r w:rsidR="0078235A">
        <w:rPr>
          <w:sz w:val="28"/>
          <w:szCs w:val="28"/>
        </w:rPr>
        <w:t xml:space="preserve"> time, this Bench has seen practitioners, exchanging mostly </w:t>
      </w:r>
      <w:r w:rsidR="008961A5">
        <w:rPr>
          <w:sz w:val="28"/>
          <w:szCs w:val="28"/>
        </w:rPr>
        <w:t>processes, relating to civil proceedings in court by mutual consent.</w:t>
      </w:r>
      <w:r w:rsidR="00AF7667">
        <w:rPr>
          <w:sz w:val="28"/>
          <w:szCs w:val="28"/>
        </w:rPr>
        <w:t xml:space="preserve"> </w:t>
      </w:r>
      <w:r w:rsidR="008961A5">
        <w:rPr>
          <w:sz w:val="28"/>
          <w:szCs w:val="28"/>
        </w:rPr>
        <w:t>The fact that Counsel for the Appellant</w:t>
      </w:r>
      <w:r w:rsidR="00AF7667">
        <w:rPr>
          <w:sz w:val="28"/>
          <w:szCs w:val="28"/>
        </w:rPr>
        <w:t>/Respondent</w:t>
      </w:r>
      <w:r w:rsidR="008961A5">
        <w:rPr>
          <w:sz w:val="28"/>
          <w:szCs w:val="28"/>
        </w:rPr>
        <w:t xml:space="preserve"> could not locate Counsel for the Respondent</w:t>
      </w:r>
      <w:r w:rsidR="00AF7667">
        <w:rPr>
          <w:sz w:val="28"/>
          <w:szCs w:val="28"/>
        </w:rPr>
        <w:t>/Applicant</w:t>
      </w:r>
      <w:r w:rsidR="008961A5">
        <w:rPr>
          <w:sz w:val="28"/>
          <w:szCs w:val="28"/>
        </w:rPr>
        <w:t xml:space="preserve"> in his last known business address to effect service, after the order was made, in the interest of reasonableness and </w:t>
      </w:r>
      <w:r w:rsidR="001428ED">
        <w:rPr>
          <w:sz w:val="28"/>
          <w:szCs w:val="28"/>
        </w:rPr>
        <w:t>mutual respect for each other</w:t>
      </w:r>
      <w:r w:rsidR="008961A5">
        <w:rPr>
          <w:sz w:val="28"/>
          <w:szCs w:val="28"/>
        </w:rPr>
        <w:t xml:space="preserve">, the latter </w:t>
      </w:r>
      <w:r w:rsidR="001428ED">
        <w:rPr>
          <w:sz w:val="28"/>
          <w:szCs w:val="28"/>
        </w:rPr>
        <w:t>should have accepted service, when approached at the Pademba Road Magistrate’s Court. That would have solved the complexity of the issue of service, which Counsel for the Respondent</w:t>
      </w:r>
      <w:r w:rsidR="008C79BA">
        <w:rPr>
          <w:sz w:val="28"/>
          <w:szCs w:val="28"/>
        </w:rPr>
        <w:t>/</w:t>
      </w:r>
      <w:r w:rsidR="00AF7667">
        <w:rPr>
          <w:sz w:val="28"/>
          <w:szCs w:val="28"/>
        </w:rPr>
        <w:t>Applican</w:t>
      </w:r>
      <w:r w:rsidR="008C79BA">
        <w:rPr>
          <w:sz w:val="28"/>
          <w:szCs w:val="28"/>
        </w:rPr>
        <w:t>t</w:t>
      </w:r>
      <w:r w:rsidR="001428ED">
        <w:rPr>
          <w:sz w:val="28"/>
          <w:szCs w:val="28"/>
        </w:rPr>
        <w:t xml:space="preserve"> is now raising.</w:t>
      </w:r>
    </w:p>
    <w:p w14:paraId="6DA7BEF4" w14:textId="77777777" w:rsidR="00D57C44" w:rsidRDefault="001428ED" w:rsidP="005059D3">
      <w:pPr>
        <w:jc w:val="both"/>
        <w:rPr>
          <w:sz w:val="28"/>
          <w:szCs w:val="28"/>
        </w:rPr>
      </w:pPr>
      <w:r>
        <w:rPr>
          <w:sz w:val="28"/>
          <w:szCs w:val="28"/>
        </w:rPr>
        <w:t xml:space="preserve"> On this point, this Bench believes </w:t>
      </w:r>
      <w:r w:rsidR="00716798">
        <w:rPr>
          <w:sz w:val="28"/>
          <w:szCs w:val="28"/>
        </w:rPr>
        <w:t>that upholding this contention of improper service, when the Respondent</w:t>
      </w:r>
      <w:r w:rsidR="008C79BA">
        <w:rPr>
          <w:sz w:val="28"/>
          <w:szCs w:val="28"/>
        </w:rPr>
        <w:t>/Applicant</w:t>
      </w:r>
      <w:r w:rsidR="00716798">
        <w:rPr>
          <w:sz w:val="28"/>
          <w:szCs w:val="28"/>
        </w:rPr>
        <w:t xml:space="preserve">’s Counsel could not be located in his last known address of service, will be unfair to the Appellant, who is also laying claim to the realty </w:t>
      </w:r>
      <w:r w:rsidR="00CA5BAF">
        <w:rPr>
          <w:sz w:val="28"/>
          <w:szCs w:val="28"/>
        </w:rPr>
        <w:t xml:space="preserve">in question. </w:t>
      </w:r>
      <w:r w:rsidR="00F4337C">
        <w:rPr>
          <w:sz w:val="28"/>
          <w:szCs w:val="28"/>
        </w:rPr>
        <w:t xml:space="preserve">So, if the preliminary objection is upheld on this point, an </w:t>
      </w:r>
      <w:r w:rsidR="00F4337C">
        <w:rPr>
          <w:sz w:val="28"/>
          <w:szCs w:val="28"/>
        </w:rPr>
        <w:lastRenderedPageBreak/>
        <w:t>order for service, will have to be made and that will continue to forestall the progress of this matter</w:t>
      </w:r>
      <w:r w:rsidR="008C79BA">
        <w:rPr>
          <w:sz w:val="28"/>
          <w:szCs w:val="28"/>
        </w:rPr>
        <w:t>.</w:t>
      </w:r>
      <w:r w:rsidR="004713BA">
        <w:rPr>
          <w:sz w:val="28"/>
          <w:szCs w:val="28"/>
        </w:rPr>
        <w:t xml:space="preserve"> </w:t>
      </w:r>
      <w:r w:rsidR="00F4337C">
        <w:rPr>
          <w:sz w:val="28"/>
          <w:szCs w:val="28"/>
        </w:rPr>
        <w:t>Nevertheless,</w:t>
      </w:r>
      <w:r w:rsidR="00297CE3">
        <w:rPr>
          <w:sz w:val="28"/>
          <w:szCs w:val="28"/>
        </w:rPr>
        <w:t xml:space="preserve"> Paragraph 11</w:t>
      </w:r>
      <w:r w:rsidR="00BD2640">
        <w:rPr>
          <w:sz w:val="28"/>
          <w:szCs w:val="28"/>
        </w:rPr>
        <w:t xml:space="preserve"> of the affidavit in opposition,</w:t>
      </w:r>
      <w:r w:rsidR="00297CE3">
        <w:rPr>
          <w:sz w:val="28"/>
          <w:szCs w:val="28"/>
        </w:rPr>
        <w:t xml:space="preserve"> categorically denie</w:t>
      </w:r>
      <w:r w:rsidR="00BD2640">
        <w:rPr>
          <w:sz w:val="28"/>
          <w:szCs w:val="28"/>
        </w:rPr>
        <w:t>s</w:t>
      </w:r>
      <w:r w:rsidR="00297CE3">
        <w:rPr>
          <w:sz w:val="28"/>
          <w:szCs w:val="28"/>
        </w:rPr>
        <w:t xml:space="preserve"> the Third Ground of the objection; and state</w:t>
      </w:r>
      <w:r w:rsidR="00BD2640">
        <w:rPr>
          <w:sz w:val="28"/>
          <w:szCs w:val="28"/>
        </w:rPr>
        <w:t>s</w:t>
      </w:r>
      <w:r w:rsidR="00297CE3">
        <w:rPr>
          <w:sz w:val="28"/>
          <w:szCs w:val="28"/>
        </w:rPr>
        <w:t xml:space="preserve"> that the Judgment of the Learned Hon. Mr. Justice A. K. Musa, does not say anything that the evidence of payment of the security for cost shall be exhibited.</w:t>
      </w:r>
      <w:r w:rsidR="00BD2640">
        <w:rPr>
          <w:sz w:val="28"/>
          <w:szCs w:val="28"/>
        </w:rPr>
        <w:t xml:space="preserve"> </w:t>
      </w:r>
    </w:p>
    <w:p w14:paraId="438E3B20" w14:textId="3444F7BA" w:rsidR="00A06D10" w:rsidRDefault="00BD2640" w:rsidP="005059D3">
      <w:pPr>
        <w:jc w:val="both"/>
        <w:rPr>
          <w:sz w:val="28"/>
          <w:szCs w:val="28"/>
        </w:rPr>
      </w:pPr>
      <w:r>
        <w:rPr>
          <w:sz w:val="28"/>
          <w:szCs w:val="28"/>
        </w:rPr>
        <w:t>Thus, my perusal of Exhibit SMK1, containing the said order, confirms that</w:t>
      </w:r>
      <w:r w:rsidR="008C79BA">
        <w:rPr>
          <w:sz w:val="28"/>
          <w:szCs w:val="28"/>
        </w:rPr>
        <w:t xml:space="preserve"> indeed the said exhibit</w:t>
      </w:r>
      <w:r>
        <w:rPr>
          <w:sz w:val="28"/>
          <w:szCs w:val="28"/>
        </w:rPr>
        <w:t xml:space="preserve"> does not say that the evidence of payment of the security for cost shall be exhibited in an affidavit.</w:t>
      </w:r>
      <w:r w:rsidR="005059D3">
        <w:rPr>
          <w:sz w:val="28"/>
          <w:szCs w:val="28"/>
        </w:rPr>
        <w:t xml:space="preserve"> Therefore, to say that the Notice of Appeal, should not be heard, because the evidence of payment of security for cost has not been exhibited is unacceptable</w:t>
      </w:r>
      <w:r w:rsidR="008C79BA">
        <w:rPr>
          <w:sz w:val="28"/>
          <w:szCs w:val="28"/>
        </w:rPr>
        <w:t>; as that averment is not to be found on the face of that exhibit.</w:t>
      </w:r>
      <w:r w:rsidR="005059D3">
        <w:rPr>
          <w:sz w:val="28"/>
          <w:szCs w:val="28"/>
        </w:rPr>
        <w:t xml:space="preserve"> T</w:t>
      </w:r>
      <w:r w:rsidR="00CE3FEE">
        <w:rPr>
          <w:sz w:val="28"/>
          <w:szCs w:val="28"/>
        </w:rPr>
        <w:t>hus, if the security for cost as ordered has really been paid into the Judicial Sub-Treasury, this Honourable Court</w:t>
      </w:r>
      <w:r w:rsidR="00E80A27">
        <w:rPr>
          <w:sz w:val="28"/>
          <w:szCs w:val="28"/>
        </w:rPr>
        <w:t>,</w:t>
      </w:r>
      <w:r w:rsidR="00CE3FEE">
        <w:rPr>
          <w:sz w:val="28"/>
          <w:szCs w:val="28"/>
        </w:rPr>
        <w:t xml:space="preserve"> can be ordered for evidence of that to be exhibited in a supplemental affidavit, to be filed by Counsel for the Appellant</w:t>
      </w:r>
      <w:r w:rsidR="00E80A27">
        <w:rPr>
          <w:sz w:val="28"/>
          <w:szCs w:val="28"/>
        </w:rPr>
        <w:t>/Respondent</w:t>
      </w:r>
      <w:r w:rsidR="00CE3FEE">
        <w:rPr>
          <w:sz w:val="28"/>
          <w:szCs w:val="28"/>
        </w:rPr>
        <w:t>.</w:t>
      </w:r>
      <w:r w:rsidR="00E80A27">
        <w:rPr>
          <w:sz w:val="28"/>
          <w:szCs w:val="28"/>
        </w:rPr>
        <w:t xml:space="preserve"> In fact,</w:t>
      </w:r>
      <w:r w:rsidR="00CE3FEE">
        <w:rPr>
          <w:sz w:val="28"/>
          <w:szCs w:val="28"/>
        </w:rPr>
        <w:t xml:space="preserve"> there is evidence that the security for cost </w:t>
      </w:r>
      <w:r w:rsidR="00EE4828">
        <w:rPr>
          <w:sz w:val="28"/>
          <w:szCs w:val="28"/>
        </w:rPr>
        <w:t>has been paid into</w:t>
      </w:r>
      <w:r w:rsidR="00E80A27">
        <w:rPr>
          <w:sz w:val="28"/>
          <w:szCs w:val="28"/>
        </w:rPr>
        <w:t xml:space="preserve"> the Judicial Sub-Treasury.</w:t>
      </w:r>
      <w:r w:rsidR="00EE4828">
        <w:rPr>
          <w:sz w:val="28"/>
          <w:szCs w:val="28"/>
        </w:rPr>
        <w:t xml:space="preserve"> </w:t>
      </w:r>
      <w:r w:rsidR="00E80A27">
        <w:rPr>
          <w:sz w:val="28"/>
          <w:szCs w:val="28"/>
        </w:rPr>
        <w:t>This is confirmed in</w:t>
      </w:r>
      <w:r w:rsidR="005059D3" w:rsidRPr="005059D3">
        <w:rPr>
          <w:sz w:val="28"/>
          <w:szCs w:val="28"/>
        </w:rPr>
        <w:t xml:space="preserve"> </w:t>
      </w:r>
      <w:r w:rsidR="005059D3">
        <w:rPr>
          <w:sz w:val="28"/>
          <w:szCs w:val="28"/>
        </w:rPr>
        <w:t>Paragraph 6</w:t>
      </w:r>
      <w:r w:rsidR="00EE4828">
        <w:rPr>
          <w:sz w:val="28"/>
          <w:szCs w:val="28"/>
        </w:rPr>
        <w:t xml:space="preserve"> of the affidavit in reply</w:t>
      </w:r>
      <w:r w:rsidR="00D57C44">
        <w:rPr>
          <w:sz w:val="28"/>
          <w:szCs w:val="28"/>
        </w:rPr>
        <w:t>, which affirms</w:t>
      </w:r>
      <w:r w:rsidR="005059D3">
        <w:rPr>
          <w:sz w:val="28"/>
          <w:szCs w:val="28"/>
        </w:rPr>
        <w:t xml:space="preserve"> that a letter was written to the National Revenue Authority (NRA) on the 11</w:t>
      </w:r>
      <w:r w:rsidR="005059D3" w:rsidRPr="006069E5">
        <w:rPr>
          <w:sz w:val="28"/>
          <w:szCs w:val="28"/>
          <w:vertAlign w:val="superscript"/>
        </w:rPr>
        <w:t>th</w:t>
      </w:r>
      <w:r w:rsidR="005059D3">
        <w:rPr>
          <w:sz w:val="28"/>
          <w:szCs w:val="28"/>
        </w:rPr>
        <w:t xml:space="preserve"> December 2020, and the search revealed that payments were accepted, but that the Court should summon an official of the NRA to come before it and attests to those facts.</w:t>
      </w:r>
      <w:r w:rsidR="00966835">
        <w:rPr>
          <w:sz w:val="28"/>
          <w:szCs w:val="28"/>
        </w:rPr>
        <w:t xml:space="preserve"> </w:t>
      </w:r>
      <w:r w:rsidR="00A06D10">
        <w:rPr>
          <w:sz w:val="28"/>
          <w:szCs w:val="28"/>
        </w:rPr>
        <w:t>Meanwhile, on the basis of the foregoing analysis, the preliminary objection is dismissed. And I make no order as to cost. Counsel for the Appellant/Respondent is at liberty to proceed with his Notice of Appeal on the next adjourned date.</w:t>
      </w:r>
    </w:p>
    <w:p w14:paraId="54E07C31" w14:textId="6074D904" w:rsidR="00966835" w:rsidRDefault="00966835" w:rsidP="005059D3">
      <w:pPr>
        <w:jc w:val="both"/>
        <w:rPr>
          <w:sz w:val="28"/>
          <w:szCs w:val="28"/>
        </w:rPr>
      </w:pPr>
      <w:r>
        <w:rPr>
          <w:sz w:val="28"/>
          <w:szCs w:val="28"/>
        </w:rPr>
        <w:t>The Hon. Dr. Justice Abou B.M. Binneh-Kamara, J.</w:t>
      </w:r>
    </w:p>
    <w:p w14:paraId="128AE748" w14:textId="77777777" w:rsidR="00966835" w:rsidRDefault="00966835" w:rsidP="005059D3">
      <w:pPr>
        <w:jc w:val="both"/>
        <w:rPr>
          <w:sz w:val="28"/>
          <w:szCs w:val="28"/>
        </w:rPr>
      </w:pPr>
    </w:p>
    <w:p w14:paraId="7DB64A9D" w14:textId="5D4DF3B2" w:rsidR="00966835" w:rsidRDefault="00966835" w:rsidP="005059D3">
      <w:pPr>
        <w:jc w:val="both"/>
        <w:rPr>
          <w:sz w:val="28"/>
          <w:szCs w:val="28"/>
        </w:rPr>
      </w:pPr>
      <w:r>
        <w:rPr>
          <w:sz w:val="28"/>
          <w:szCs w:val="28"/>
        </w:rPr>
        <w:t>Justice of Sierra Leone’s Superior Court of Judicature</w:t>
      </w:r>
    </w:p>
    <w:p w14:paraId="65007667" w14:textId="0B30EA5B" w:rsidR="00297CE3" w:rsidRDefault="00297CE3" w:rsidP="00297CE3">
      <w:pPr>
        <w:jc w:val="both"/>
        <w:rPr>
          <w:sz w:val="28"/>
          <w:szCs w:val="28"/>
        </w:rPr>
      </w:pPr>
    </w:p>
    <w:p w14:paraId="7E391696" w14:textId="5DCB3903" w:rsidR="00916831" w:rsidRPr="00916831" w:rsidRDefault="00916831" w:rsidP="00916831">
      <w:pPr>
        <w:jc w:val="both"/>
        <w:rPr>
          <w:b/>
          <w:bCs/>
          <w:sz w:val="28"/>
          <w:szCs w:val="28"/>
          <w:u w:val="single"/>
        </w:rPr>
      </w:pPr>
    </w:p>
    <w:p w14:paraId="1EFF506D" w14:textId="6F2462E3" w:rsidR="000626A3" w:rsidRDefault="000626A3" w:rsidP="003C6789">
      <w:pPr>
        <w:jc w:val="both"/>
        <w:rPr>
          <w:sz w:val="28"/>
          <w:szCs w:val="28"/>
        </w:rPr>
      </w:pPr>
    </w:p>
    <w:p w14:paraId="48A2DDA2" w14:textId="77777777" w:rsidR="000626A3" w:rsidRDefault="000626A3" w:rsidP="003C6789">
      <w:pPr>
        <w:jc w:val="both"/>
        <w:rPr>
          <w:sz w:val="28"/>
          <w:szCs w:val="28"/>
        </w:rPr>
      </w:pPr>
    </w:p>
    <w:p w14:paraId="24974404" w14:textId="77777777" w:rsidR="000626A3" w:rsidRDefault="000626A3" w:rsidP="003C6789">
      <w:pPr>
        <w:jc w:val="both"/>
        <w:rPr>
          <w:sz w:val="28"/>
          <w:szCs w:val="28"/>
        </w:rPr>
      </w:pPr>
    </w:p>
    <w:p w14:paraId="696506FE" w14:textId="77FBAA96" w:rsidR="00310129" w:rsidRDefault="00310129" w:rsidP="006823BB">
      <w:pPr>
        <w:jc w:val="both"/>
        <w:rPr>
          <w:sz w:val="28"/>
          <w:szCs w:val="28"/>
        </w:rPr>
      </w:pPr>
    </w:p>
    <w:p w14:paraId="5F27F2DF" w14:textId="77777777" w:rsidR="00310129" w:rsidRDefault="00310129" w:rsidP="006823BB">
      <w:pPr>
        <w:jc w:val="both"/>
        <w:rPr>
          <w:sz w:val="28"/>
          <w:szCs w:val="28"/>
        </w:rPr>
      </w:pPr>
    </w:p>
    <w:p w14:paraId="1EF80662" w14:textId="77777777" w:rsidR="00310129" w:rsidRDefault="00310129" w:rsidP="006823BB">
      <w:pPr>
        <w:jc w:val="both"/>
        <w:rPr>
          <w:sz w:val="28"/>
          <w:szCs w:val="28"/>
        </w:rPr>
      </w:pPr>
    </w:p>
    <w:p w14:paraId="1837BFB9" w14:textId="77777777" w:rsidR="00BB7F3F" w:rsidRDefault="00BB7F3F" w:rsidP="006823BB">
      <w:pPr>
        <w:jc w:val="both"/>
        <w:rPr>
          <w:sz w:val="28"/>
          <w:szCs w:val="28"/>
        </w:rPr>
      </w:pPr>
    </w:p>
    <w:p w14:paraId="26B19238" w14:textId="77777777" w:rsidR="00BB7F3F" w:rsidRDefault="00BB7F3F" w:rsidP="006823BB">
      <w:pPr>
        <w:jc w:val="both"/>
        <w:rPr>
          <w:sz w:val="28"/>
          <w:szCs w:val="28"/>
        </w:rPr>
      </w:pPr>
    </w:p>
    <w:p w14:paraId="013224E1" w14:textId="77777777" w:rsidR="00BB7F3F" w:rsidRDefault="00BB7F3F" w:rsidP="006823BB">
      <w:pPr>
        <w:jc w:val="both"/>
        <w:rPr>
          <w:sz w:val="28"/>
          <w:szCs w:val="28"/>
        </w:rPr>
      </w:pPr>
    </w:p>
    <w:p w14:paraId="30530C51" w14:textId="77777777" w:rsidR="00BB7F3F" w:rsidRDefault="00BB7F3F" w:rsidP="006823BB">
      <w:pPr>
        <w:jc w:val="both"/>
        <w:rPr>
          <w:sz w:val="28"/>
          <w:szCs w:val="28"/>
        </w:rPr>
      </w:pPr>
    </w:p>
    <w:p w14:paraId="5DF19590" w14:textId="77777777" w:rsidR="00BB7F3F" w:rsidRDefault="00BB7F3F" w:rsidP="006823BB">
      <w:pPr>
        <w:jc w:val="both"/>
        <w:rPr>
          <w:sz w:val="28"/>
          <w:szCs w:val="28"/>
        </w:rPr>
      </w:pPr>
    </w:p>
    <w:p w14:paraId="4FE0F9CB" w14:textId="77777777" w:rsidR="006823BB" w:rsidRDefault="006823BB" w:rsidP="006823BB">
      <w:pPr>
        <w:jc w:val="both"/>
        <w:rPr>
          <w:sz w:val="28"/>
          <w:szCs w:val="28"/>
        </w:rPr>
      </w:pPr>
    </w:p>
    <w:p w14:paraId="2AD0978F" w14:textId="77777777" w:rsidR="006823BB" w:rsidRDefault="006823BB" w:rsidP="006823BB">
      <w:pPr>
        <w:jc w:val="both"/>
        <w:rPr>
          <w:sz w:val="28"/>
          <w:szCs w:val="28"/>
        </w:rPr>
      </w:pPr>
    </w:p>
    <w:p w14:paraId="6587F6D0" w14:textId="77777777" w:rsidR="006823BB" w:rsidRDefault="006823BB" w:rsidP="006823BB">
      <w:pPr>
        <w:jc w:val="both"/>
        <w:rPr>
          <w:sz w:val="28"/>
          <w:szCs w:val="28"/>
        </w:rPr>
      </w:pPr>
    </w:p>
    <w:p w14:paraId="7229B67E" w14:textId="77777777" w:rsidR="006823BB" w:rsidRPr="006823BB" w:rsidRDefault="006823BB" w:rsidP="006823BB">
      <w:pPr>
        <w:jc w:val="both"/>
        <w:rPr>
          <w:sz w:val="28"/>
          <w:szCs w:val="28"/>
        </w:rPr>
      </w:pPr>
    </w:p>
    <w:p w14:paraId="7A726E3C" w14:textId="634C4736" w:rsidR="0032087D" w:rsidRDefault="0032087D" w:rsidP="0032087D">
      <w:pPr>
        <w:jc w:val="both"/>
        <w:rPr>
          <w:sz w:val="28"/>
          <w:szCs w:val="28"/>
        </w:rPr>
      </w:pPr>
    </w:p>
    <w:p w14:paraId="4DD87B8A" w14:textId="77777777" w:rsidR="006823BB" w:rsidRDefault="006823BB" w:rsidP="0032087D">
      <w:pPr>
        <w:jc w:val="both"/>
        <w:rPr>
          <w:sz w:val="28"/>
          <w:szCs w:val="28"/>
        </w:rPr>
      </w:pPr>
    </w:p>
    <w:p w14:paraId="278DBBFE" w14:textId="77777777" w:rsidR="006823BB" w:rsidRDefault="006823BB" w:rsidP="0032087D">
      <w:pPr>
        <w:jc w:val="both"/>
        <w:rPr>
          <w:sz w:val="28"/>
          <w:szCs w:val="28"/>
        </w:rPr>
      </w:pPr>
    </w:p>
    <w:p w14:paraId="3F0DDCF4" w14:textId="77777777" w:rsidR="006823BB" w:rsidRDefault="006823BB" w:rsidP="0032087D">
      <w:pPr>
        <w:jc w:val="both"/>
        <w:rPr>
          <w:sz w:val="28"/>
          <w:szCs w:val="28"/>
        </w:rPr>
      </w:pPr>
    </w:p>
    <w:p w14:paraId="315C1288" w14:textId="77777777" w:rsidR="006823BB" w:rsidRDefault="006823BB" w:rsidP="0032087D">
      <w:pPr>
        <w:jc w:val="both"/>
        <w:rPr>
          <w:sz w:val="28"/>
          <w:szCs w:val="28"/>
        </w:rPr>
      </w:pPr>
    </w:p>
    <w:p w14:paraId="0C092460" w14:textId="77777777" w:rsidR="006823BB" w:rsidRDefault="006823BB" w:rsidP="0032087D">
      <w:pPr>
        <w:jc w:val="both"/>
        <w:rPr>
          <w:sz w:val="28"/>
          <w:szCs w:val="28"/>
        </w:rPr>
      </w:pPr>
    </w:p>
    <w:p w14:paraId="07B1937A" w14:textId="77777777" w:rsidR="006823BB" w:rsidRDefault="006823BB" w:rsidP="0032087D">
      <w:pPr>
        <w:jc w:val="both"/>
        <w:rPr>
          <w:sz w:val="28"/>
          <w:szCs w:val="28"/>
        </w:rPr>
      </w:pPr>
    </w:p>
    <w:p w14:paraId="5D23DA7D" w14:textId="77777777" w:rsidR="006823BB" w:rsidRDefault="006823BB" w:rsidP="0032087D">
      <w:pPr>
        <w:jc w:val="both"/>
        <w:rPr>
          <w:sz w:val="28"/>
          <w:szCs w:val="28"/>
        </w:rPr>
      </w:pPr>
    </w:p>
    <w:p w14:paraId="6993FC91" w14:textId="77777777" w:rsidR="006823BB" w:rsidRDefault="006823BB" w:rsidP="0032087D">
      <w:pPr>
        <w:jc w:val="both"/>
        <w:rPr>
          <w:sz w:val="28"/>
          <w:szCs w:val="28"/>
        </w:rPr>
      </w:pPr>
    </w:p>
    <w:p w14:paraId="5031D195" w14:textId="4381E752" w:rsidR="006823BB" w:rsidRPr="00190177" w:rsidRDefault="006823BB" w:rsidP="0032087D">
      <w:pPr>
        <w:jc w:val="both"/>
        <w:rPr>
          <w:sz w:val="28"/>
          <w:szCs w:val="28"/>
        </w:rPr>
      </w:pPr>
      <w:r>
        <w:rPr>
          <w:sz w:val="28"/>
          <w:szCs w:val="28"/>
        </w:rPr>
        <w:t xml:space="preserve">However, the first issue which is contention </w:t>
      </w:r>
      <w:proofErr w:type="gramStart"/>
      <w:r>
        <w:rPr>
          <w:sz w:val="28"/>
          <w:szCs w:val="28"/>
        </w:rPr>
        <w:t>is  Paragraph</w:t>
      </w:r>
      <w:proofErr w:type="gramEnd"/>
      <w:r>
        <w:rPr>
          <w:sz w:val="28"/>
          <w:szCs w:val="28"/>
        </w:rPr>
        <w:t xml:space="preserve"> 3 emphasized the point that the Appellant did not serve on the Respondent the filed Notice of Appeal within seven (7) days of that order and that it was on the 20</w:t>
      </w:r>
      <w:r w:rsidRPr="000721D3">
        <w:rPr>
          <w:sz w:val="28"/>
          <w:szCs w:val="28"/>
          <w:vertAlign w:val="superscript"/>
        </w:rPr>
        <w:t>th</w:t>
      </w:r>
      <w:r>
        <w:rPr>
          <w:sz w:val="28"/>
          <w:szCs w:val="28"/>
        </w:rPr>
        <w:t xml:space="preserve"> December, 2020 at exactly 10:40 o’clock in the forenoon that Counsel attempted to abruptly serve the said process on him</w:t>
      </w:r>
    </w:p>
    <w:p w14:paraId="72940417" w14:textId="7077B651" w:rsidR="00673447" w:rsidRPr="00673447" w:rsidRDefault="00673447" w:rsidP="00673447">
      <w:pPr>
        <w:ind w:left="360"/>
        <w:jc w:val="both"/>
        <w:rPr>
          <w:b/>
          <w:bCs/>
          <w:sz w:val="28"/>
          <w:szCs w:val="28"/>
          <w:u w:val="single"/>
        </w:rPr>
      </w:pPr>
    </w:p>
    <w:sectPr w:rsidR="00673447" w:rsidRPr="00673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AD4D" w14:textId="77777777" w:rsidR="0025398C" w:rsidRDefault="0025398C" w:rsidP="001F1FE7">
      <w:pPr>
        <w:spacing w:after="0" w:line="240" w:lineRule="auto"/>
      </w:pPr>
      <w:r>
        <w:separator/>
      </w:r>
    </w:p>
  </w:endnote>
  <w:endnote w:type="continuationSeparator" w:id="0">
    <w:p w14:paraId="28763D87" w14:textId="77777777" w:rsidR="0025398C" w:rsidRDefault="0025398C" w:rsidP="001F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0CE9" w14:textId="77777777" w:rsidR="0025398C" w:rsidRDefault="0025398C" w:rsidP="001F1FE7">
      <w:pPr>
        <w:spacing w:after="0" w:line="240" w:lineRule="auto"/>
      </w:pPr>
      <w:r>
        <w:separator/>
      </w:r>
    </w:p>
  </w:footnote>
  <w:footnote w:type="continuationSeparator" w:id="0">
    <w:p w14:paraId="7EA3C85C" w14:textId="77777777" w:rsidR="0025398C" w:rsidRDefault="0025398C" w:rsidP="001F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E5B"/>
    <w:multiLevelType w:val="hybridMultilevel"/>
    <w:tmpl w:val="E698155E"/>
    <w:lvl w:ilvl="0" w:tplc="FFFFFFFF">
      <w:start w:val="1"/>
      <w:numFmt w:val="decimal"/>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A750AF"/>
    <w:multiLevelType w:val="multilevel"/>
    <w:tmpl w:val="3D5699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2D461E3"/>
    <w:multiLevelType w:val="hybridMultilevel"/>
    <w:tmpl w:val="E698155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356FF"/>
    <w:multiLevelType w:val="hybridMultilevel"/>
    <w:tmpl w:val="E698155E"/>
    <w:lvl w:ilvl="0" w:tplc="FFFFFFFF">
      <w:start w:val="1"/>
      <w:numFmt w:val="decimal"/>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0392802">
    <w:abstractNumId w:val="1"/>
  </w:num>
  <w:num w:numId="2" w16cid:durableId="305164824">
    <w:abstractNumId w:val="2"/>
  </w:num>
  <w:num w:numId="3" w16cid:durableId="446118607">
    <w:abstractNumId w:val="3"/>
  </w:num>
  <w:num w:numId="4" w16cid:durableId="69948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59"/>
    <w:rsid w:val="00000126"/>
    <w:rsid w:val="00024A36"/>
    <w:rsid w:val="000626A3"/>
    <w:rsid w:val="000721D3"/>
    <w:rsid w:val="000C1473"/>
    <w:rsid w:val="000E06FA"/>
    <w:rsid w:val="00116B7D"/>
    <w:rsid w:val="001428ED"/>
    <w:rsid w:val="00160EB8"/>
    <w:rsid w:val="00190177"/>
    <w:rsid w:val="001A0B7C"/>
    <w:rsid w:val="001B60CD"/>
    <w:rsid w:val="001F1FE7"/>
    <w:rsid w:val="00215B49"/>
    <w:rsid w:val="002209AE"/>
    <w:rsid w:val="0025398C"/>
    <w:rsid w:val="00297CE3"/>
    <w:rsid w:val="002A3F0A"/>
    <w:rsid w:val="002C4495"/>
    <w:rsid w:val="002E10A5"/>
    <w:rsid w:val="00310129"/>
    <w:rsid w:val="0032087D"/>
    <w:rsid w:val="00342137"/>
    <w:rsid w:val="00376889"/>
    <w:rsid w:val="003871EE"/>
    <w:rsid w:val="003C6789"/>
    <w:rsid w:val="00403882"/>
    <w:rsid w:val="004059B7"/>
    <w:rsid w:val="00412EF9"/>
    <w:rsid w:val="0041753E"/>
    <w:rsid w:val="00447F12"/>
    <w:rsid w:val="004713BA"/>
    <w:rsid w:val="00477BA6"/>
    <w:rsid w:val="004936FD"/>
    <w:rsid w:val="00493C08"/>
    <w:rsid w:val="005059D3"/>
    <w:rsid w:val="00540363"/>
    <w:rsid w:val="005603CB"/>
    <w:rsid w:val="00574B3D"/>
    <w:rsid w:val="005F42A9"/>
    <w:rsid w:val="006069E5"/>
    <w:rsid w:val="00673447"/>
    <w:rsid w:val="00680BC0"/>
    <w:rsid w:val="006823BB"/>
    <w:rsid w:val="006B2AC2"/>
    <w:rsid w:val="006B57A6"/>
    <w:rsid w:val="006D4B88"/>
    <w:rsid w:val="006D552D"/>
    <w:rsid w:val="006E3BD3"/>
    <w:rsid w:val="006F2B1B"/>
    <w:rsid w:val="007145E4"/>
    <w:rsid w:val="00716798"/>
    <w:rsid w:val="0078235A"/>
    <w:rsid w:val="0079132F"/>
    <w:rsid w:val="007B3BA9"/>
    <w:rsid w:val="007E2DC8"/>
    <w:rsid w:val="0087786A"/>
    <w:rsid w:val="008961A5"/>
    <w:rsid w:val="008A7765"/>
    <w:rsid w:val="008B1E01"/>
    <w:rsid w:val="008B7C56"/>
    <w:rsid w:val="008C79BA"/>
    <w:rsid w:val="008E5575"/>
    <w:rsid w:val="008F4CBE"/>
    <w:rsid w:val="00916831"/>
    <w:rsid w:val="00927AE7"/>
    <w:rsid w:val="00947A8F"/>
    <w:rsid w:val="00966835"/>
    <w:rsid w:val="009A1B8B"/>
    <w:rsid w:val="009B338F"/>
    <w:rsid w:val="009D7C78"/>
    <w:rsid w:val="00A06D10"/>
    <w:rsid w:val="00A73423"/>
    <w:rsid w:val="00AF0CB7"/>
    <w:rsid w:val="00AF7667"/>
    <w:rsid w:val="00B12AA4"/>
    <w:rsid w:val="00B6126C"/>
    <w:rsid w:val="00BA2FB8"/>
    <w:rsid w:val="00BA3061"/>
    <w:rsid w:val="00BA3D9D"/>
    <w:rsid w:val="00BB7F3F"/>
    <w:rsid w:val="00BD2640"/>
    <w:rsid w:val="00BE0459"/>
    <w:rsid w:val="00BF272E"/>
    <w:rsid w:val="00C2017D"/>
    <w:rsid w:val="00C42268"/>
    <w:rsid w:val="00C543BB"/>
    <w:rsid w:val="00C74DC4"/>
    <w:rsid w:val="00CA24A9"/>
    <w:rsid w:val="00CA5BAF"/>
    <w:rsid w:val="00CC078A"/>
    <w:rsid w:val="00CC740A"/>
    <w:rsid w:val="00CD68D1"/>
    <w:rsid w:val="00CE3FEE"/>
    <w:rsid w:val="00CE4A5E"/>
    <w:rsid w:val="00D57C44"/>
    <w:rsid w:val="00D93DFB"/>
    <w:rsid w:val="00D960A7"/>
    <w:rsid w:val="00DC303D"/>
    <w:rsid w:val="00E80A27"/>
    <w:rsid w:val="00E854E6"/>
    <w:rsid w:val="00EA2E81"/>
    <w:rsid w:val="00EC2C2A"/>
    <w:rsid w:val="00EE4828"/>
    <w:rsid w:val="00F4337C"/>
    <w:rsid w:val="00F86AFC"/>
    <w:rsid w:val="00FC1EE4"/>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0E4C"/>
  <w15:chartTrackingRefBased/>
  <w15:docId w15:val="{1F10907B-12BD-42D4-8CC7-1950107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01"/>
    <w:pPr>
      <w:ind w:left="720"/>
      <w:contextualSpacing/>
    </w:pPr>
  </w:style>
  <w:style w:type="paragraph" w:styleId="FootnoteText">
    <w:name w:val="footnote text"/>
    <w:basedOn w:val="Normal"/>
    <w:link w:val="FootnoteTextChar"/>
    <w:uiPriority w:val="99"/>
    <w:unhideWhenUsed/>
    <w:rsid w:val="001F1FE7"/>
    <w:pPr>
      <w:spacing w:after="0" w:line="240" w:lineRule="auto"/>
    </w:pPr>
    <w:rPr>
      <w:sz w:val="20"/>
      <w:szCs w:val="20"/>
    </w:rPr>
  </w:style>
  <w:style w:type="character" w:customStyle="1" w:styleId="FootnoteTextChar">
    <w:name w:val="Footnote Text Char"/>
    <w:basedOn w:val="DefaultParagraphFont"/>
    <w:link w:val="FootnoteText"/>
    <w:uiPriority w:val="99"/>
    <w:rsid w:val="001F1FE7"/>
    <w:rPr>
      <w:sz w:val="20"/>
      <w:szCs w:val="20"/>
    </w:rPr>
  </w:style>
  <w:style w:type="character" w:styleId="FootnoteReference">
    <w:name w:val="footnote reference"/>
    <w:basedOn w:val="DefaultParagraphFont"/>
    <w:uiPriority w:val="99"/>
    <w:semiHidden/>
    <w:unhideWhenUsed/>
    <w:rsid w:val="001F1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C64C-7720-4D78-B95C-BB7D6704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BINNEH KAMARA</dc:creator>
  <cp:keywords/>
  <dc:description/>
  <cp:lastModifiedBy>BINNEH KAMARA</cp:lastModifiedBy>
  <cp:revision>2</cp:revision>
  <dcterms:created xsi:type="dcterms:W3CDTF">2022-04-14T21:34:00Z</dcterms:created>
  <dcterms:modified xsi:type="dcterms:W3CDTF">2022-04-14T21:34:00Z</dcterms:modified>
</cp:coreProperties>
</file>